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b/>
          <w:i/>
          <w:sz w:val="28"/>
        </w:rPr>
      </w:pPr>
      <w:bookmarkStart w:id="0" w:name="_Toc36756612"/>
      <w:bookmarkStart w:id="1" w:name="_Toc37067419"/>
      <w:bookmarkStart w:id="2" w:name="_Toc20425632"/>
      <w:bookmarkStart w:id="3" w:name="_Toc29321028"/>
      <w:bookmarkStart w:id="4" w:name="_Toc36836153"/>
      <w:bookmarkStart w:id="5" w:name="_Toc36843130"/>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w:t>
      </w:r>
      <w:bookmarkStart w:id="47" w:name="_GoBack"/>
      <w:bookmarkEnd w:id="47"/>
      <w:r>
        <w:rPr>
          <w:b/>
          <w:sz w:val="24"/>
        </w:rPr>
        <w:t>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rPr>
        <w:t>-e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R2-20</w:t>
      </w:r>
      <w:r>
        <w:rPr>
          <w:rFonts w:hint="eastAsia"/>
          <w:b/>
          <w:i/>
          <w:sz w:val="28"/>
          <w:highlight w:val="none"/>
        </w:rPr>
        <w:t>10354</w:t>
      </w:r>
      <w:r>
        <w:rPr>
          <w:b/>
          <w:i/>
          <w:sz w:val="28"/>
          <w:highlight w:val="none"/>
        </w:rPr>
        <w:fldChar w:fldCharType="end"/>
      </w:r>
    </w:p>
    <w:p>
      <w:pPr>
        <w:pStyle w:val="116"/>
        <w:outlineLvl w:val="0"/>
        <w:rPr>
          <w:rFonts w:cs="Arial"/>
          <w:b/>
          <w:sz w:val="24"/>
          <w:lang w:val="de-DE" w:eastAsia="zh-CN"/>
        </w:rPr>
      </w:pPr>
      <w:r>
        <w:rPr>
          <w:rFonts w:cs="Arial"/>
          <w:b/>
          <w:sz w:val="24"/>
          <w:lang w:val="de-DE" w:eastAsia="zh-CN"/>
        </w:rPr>
        <w:t xml:space="preserve">Electronic Meeting, </w:t>
      </w:r>
      <w:r>
        <w:rPr>
          <w:rFonts w:hint="eastAsia" w:cs="Arial"/>
          <w:b/>
          <w:sz w:val="24"/>
          <w:lang w:val="en-US" w:eastAsia="zh-CN"/>
        </w:rPr>
        <w:t>2nd</w:t>
      </w:r>
      <w:r>
        <w:rPr>
          <w:rFonts w:cs="Arial"/>
          <w:b/>
          <w:sz w:val="24"/>
          <w:lang w:val="de-DE" w:eastAsia="zh-CN"/>
        </w:rPr>
        <w:t xml:space="preserve"> – </w:t>
      </w:r>
      <w:r>
        <w:rPr>
          <w:rFonts w:hint="eastAsia" w:cs="Arial"/>
          <w:b/>
          <w:sz w:val="24"/>
          <w:lang w:val="en-US" w:eastAsia="zh-CN"/>
        </w:rPr>
        <w:t>13</w:t>
      </w:r>
      <w:r>
        <w:rPr>
          <w:rFonts w:cs="Arial"/>
          <w:b/>
          <w:sz w:val="24"/>
          <w:lang w:val="de-DE" w:eastAsia="zh-CN"/>
        </w:rPr>
        <w:t xml:space="preserve">th </w:t>
      </w:r>
      <w:r>
        <w:rPr>
          <w:rFonts w:hint="eastAsia" w:cs="Arial"/>
          <w:b/>
          <w:sz w:val="24"/>
          <w:lang w:val="en-US" w:eastAsia="zh-CN"/>
        </w:rPr>
        <w:t>Nov</w:t>
      </w:r>
      <w:r>
        <w:rPr>
          <w:rFonts w:cs="Arial"/>
          <w:b/>
          <w:sz w:val="24"/>
          <w:lang w:val="de-DE" w:eastAsia="zh-CN"/>
        </w:rPr>
        <w:t xml:space="preserve"> 2020</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7</w:t>
            </w:r>
            <w:r>
              <w:rPr>
                <w:b/>
                <w:sz w:val="28"/>
                <w:lang w:val="sv-SE"/>
              </w:rPr>
              <w:t>.3</w:t>
            </w:r>
            <w:r>
              <w:rPr>
                <w:rFonts w:hint="eastAsia"/>
                <w:b/>
                <w:sz w:val="28"/>
                <w:lang w:val="en-US" w:eastAsia="zh-CN"/>
              </w:rPr>
              <w:t>4</w:t>
            </w:r>
            <w:r>
              <w:rPr>
                <w:b/>
                <w:sz w:val="28"/>
                <w:lang w:val="sv-SE"/>
              </w:rPr>
              <w:t>0</w:t>
            </w:r>
            <w:r>
              <w:rPr>
                <w:b/>
                <w:sz w:val="28"/>
                <w:lang w:val="sv-SE"/>
              </w:rPr>
              <w:fldChar w:fldCharType="end"/>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lang w:val="sv-SE"/>
              </w:rPr>
            </w:pPr>
            <w:r>
              <w:rPr>
                <w:rFonts w:hint="eastAsia"/>
                <w:b/>
                <w:bCs/>
                <w:sz w:val="28"/>
                <w:szCs w:val="28"/>
                <w:lang w:val="sv-SE"/>
              </w:rPr>
              <w:t>0236</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rPr>
          <w:trHeight w:val="90" w:hRule="atLeast"/>
        </w:trPr>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lang w:val="en-US"/>
              </w:rPr>
            </w:pPr>
            <w:r>
              <w:rPr>
                <w:lang w:val="sv-SE"/>
              </w:rPr>
              <w:t xml:space="preserve"> </w:t>
            </w:r>
            <w:r>
              <w:rPr>
                <w:rFonts w:hint="eastAsia"/>
                <w:lang w:val="en-US" w:eastAsia="zh-CN"/>
              </w:rPr>
              <w:t xml:space="preserve">Miscellaneous corrections </w:t>
            </w:r>
            <w:r>
              <w:rPr>
                <w:lang w:val="en-US" w:eastAsia="zh-CN"/>
              </w:rPr>
              <w:t>for Mobility Enhancements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en-US" w:eastAsia="zh-CN"/>
              </w:rPr>
            </w:pPr>
            <w:r>
              <w:rPr>
                <w:lang w:val="en-US" w:eastAsia="zh-CN"/>
              </w:rPr>
              <w:fldChar w:fldCharType="begin"/>
            </w:r>
            <w:r>
              <w:rPr>
                <w:lang w:val="en-US" w:eastAsia="zh-CN"/>
              </w:rPr>
              <w:instrText xml:space="preserve"> DOCPROPERTY  SourceIfWg  \* MERGEFORMAT </w:instrText>
            </w:r>
            <w:r>
              <w:rPr>
                <w:lang w:val="en-US" w:eastAsia="zh-CN"/>
              </w:rPr>
              <w:fldChar w:fldCharType="separate"/>
            </w:r>
            <w:r>
              <w:rPr>
                <w:rFonts w:hint="eastAsia"/>
                <w:lang w:val="en-US" w:eastAsia="zh-CN"/>
              </w:rPr>
              <w:t>ZTE</w:t>
            </w:r>
            <w:r>
              <w:t xml:space="preserve"> Corporation</w:t>
            </w:r>
            <w:r>
              <w:fldChar w:fldCharType="end"/>
            </w:r>
            <w:r>
              <w:rPr>
                <w:rFonts w:hint="eastAsia"/>
                <w:lang w:val="en-US" w:eastAsia="zh-CN"/>
              </w:rPr>
              <w:t xml:space="preserve"> (Rapporteur), Sanechips, Ericsson </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lang w:val="sv-SE"/>
              </w:rPr>
            </w:pPr>
            <w:r>
              <w:rPr>
                <w:lang w:val="sv-SE"/>
              </w:rPr>
              <w:t>NR_Mob_enh-Core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10</w:t>
            </w:r>
            <w:r>
              <w:rPr>
                <w:lang w:val="sv-SE"/>
              </w:rPr>
              <w:t>-</w:t>
            </w:r>
            <w:r>
              <w:rPr>
                <w:lang w:val="sv-SE"/>
              </w:rPr>
              <w:fldChar w:fldCharType="end"/>
            </w:r>
            <w:r>
              <w:rPr>
                <w:rFonts w:hint="eastAsia"/>
                <w:lang w:val="en-US" w:eastAsia="zh-CN"/>
              </w:rPr>
              <w:t>23</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lang w:val="en-US" w:eastAsia="zh-CN"/>
              </w:rPr>
            </w:pPr>
            <w:r>
              <w:rPr>
                <w:lang w:val="sv-SE"/>
              </w:rPr>
              <w:t>In Rel-16</w:t>
            </w:r>
            <w:r>
              <w:rPr>
                <w:rFonts w:hint="eastAsia"/>
                <w:lang w:val="en-US" w:eastAsia="zh-CN"/>
              </w:rPr>
              <w:t>,</w:t>
            </w:r>
            <w:r>
              <w:rPr>
                <w:lang w:val="sv-SE"/>
              </w:rPr>
              <w:t xml:space="preserve"> </w:t>
            </w:r>
            <w:r>
              <w:rPr>
                <w:rFonts w:hint="eastAsia"/>
                <w:lang w:val="sv-SE"/>
              </w:rPr>
              <w:t xml:space="preserve">we </w:t>
            </w:r>
            <w:r>
              <w:rPr>
                <w:rFonts w:hint="eastAsia"/>
                <w:lang w:val="en-US" w:eastAsia="zh-CN"/>
              </w:rPr>
              <w:t xml:space="preserve">discussed CHO in MR-DC and agreed that </w:t>
            </w:r>
            <w:r>
              <w:rPr>
                <w:lang w:val="en-US" w:eastAsia="zh-CN"/>
              </w:rPr>
              <w:t>“</w:t>
            </w:r>
            <w:r>
              <w:rPr>
                <w:rFonts w:hint="eastAsia"/>
                <w:lang w:val="sv-SE"/>
              </w:rPr>
              <w:t>We will not preclude SCG configuration in RRC Reconfiguration with conditional reconfiguration. Limit to cases without RAN3 impact.</w:t>
            </w:r>
            <w:r>
              <w:rPr>
                <w:rFonts w:hint="eastAsia"/>
                <w:lang w:val="en-US" w:eastAsia="zh-CN"/>
              </w:rPr>
              <w:t>" According to the current spec, the handover in MR-DC is involved with Inter-Master Node handover with/without Secondary Node change procedure and Master Node to eNB/gNB Change procedure. Actually, only CHO in Master Node to eNB/gNB Change can be supported since RAN3 only worked on it.</w:t>
            </w:r>
          </w:p>
          <w:p>
            <w:pPr>
              <w:pStyle w:val="116"/>
              <w:spacing w:after="0"/>
              <w:ind w:left="100"/>
              <w:rPr>
                <w:lang w:val="en-US" w:eastAsia="zh-CN"/>
              </w:rPr>
            </w:pPr>
            <w:r>
              <w:rPr>
                <w:rFonts w:hint="eastAsia"/>
                <w:lang w:val="en-US" w:eastAsia="zh-CN"/>
              </w:rPr>
              <w:t xml:space="preserve">In section 10.6 PSCell change, the text </w:t>
            </w:r>
            <w:r>
              <w:rPr>
                <w:lang w:val="en-US" w:eastAsia="zh-CN"/>
              </w:rPr>
              <w:t>“</w:t>
            </w:r>
            <w:r>
              <w:rPr>
                <w:rFonts w:hint="eastAsia"/>
                <w:lang w:val="en-US" w:eastAsia="zh-CN"/>
              </w:rPr>
              <w:t>Only intra-SN CPC is supported</w:t>
            </w:r>
            <w:r>
              <w:rPr>
                <w:lang w:val="en-US" w:eastAsia="zh-CN"/>
              </w:rPr>
              <w:t>”</w:t>
            </w:r>
            <w:r>
              <w:rPr>
                <w:rFonts w:hint="eastAsia"/>
                <w:lang w:val="en-US" w:eastAsia="zh-CN"/>
              </w:rPr>
              <w:t xml:space="preserve"> is not correct since only intra-SN CPC without MN involvement is supported while intra-SN CPC with MN involvement is not supported in Rel-16. Besides, the CPC configuration in CHO or CPC configuration is not supported. The case that CPC configuration in CHO configuration is not covered in the current spec.</w:t>
            </w:r>
          </w:p>
          <w:p>
            <w:pPr>
              <w:pStyle w:val="116"/>
              <w:spacing w:after="0"/>
              <w:ind w:left="100"/>
              <w:rPr>
                <w:lang w:val="en-US" w:eastAsia="zh-CN"/>
              </w:rPr>
            </w:pPr>
          </w:p>
          <w:p>
            <w:pPr>
              <w:pStyle w:val="116"/>
              <w:spacing w:after="0"/>
              <w:ind w:left="100"/>
              <w:rPr>
                <w:lang w:val="en-US" w:eastAsia="zh-CN"/>
              </w:rPr>
            </w:pPr>
            <w:r>
              <w:rPr>
                <w:rFonts w:hint="eastAsia"/>
                <w:lang w:val="en-US" w:eastAsia="zh-CN"/>
              </w:rPr>
              <w:t xml:space="preserve">Some editorial changes </w:t>
            </w:r>
            <w:r>
              <w:rPr>
                <w:lang w:val="en-US" w:eastAsia="zh-CN"/>
              </w:rPr>
              <w:t xml:space="preserve">are needed </w:t>
            </w:r>
            <w:r>
              <w:rPr>
                <w:rFonts w:hint="eastAsia"/>
                <w:lang w:val="en-US" w:eastAsia="zh-CN"/>
              </w:rPr>
              <w:t>in section 10.1, 10.3.1 and 10.3.2.</w:t>
            </w:r>
          </w:p>
          <w:p>
            <w:pPr>
              <w:pStyle w:val="116"/>
              <w:spacing w:after="0"/>
              <w:ind w:left="100"/>
              <w:rPr>
                <w:lang w:val="en-US"/>
              </w:rPr>
            </w:pPr>
          </w:p>
          <w:p>
            <w:pPr>
              <w:pStyle w:val="116"/>
              <w:spacing w:after="0"/>
              <w:ind w:left="100"/>
            </w:pPr>
            <w:r>
              <w:t>In Annex B, it is unclear what handover types are supported between different RATs/MR-DC configurations.</w:t>
            </w:r>
          </w:p>
        </w:tc>
      </w:tr>
      <w:tr>
        <w:tblPrEx>
          <w:tblCellMar>
            <w:top w:w="0" w:type="dxa"/>
            <w:left w:w="42" w:type="dxa"/>
            <w:bottom w:w="0" w:type="dxa"/>
            <w:right w:w="42" w:type="dxa"/>
          </w:tblCellMar>
        </w:tblPrEx>
        <w:trPr>
          <w:trHeight w:val="118"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1"/>
              </w:numPr>
              <w:spacing w:after="0"/>
              <w:ind w:left="100"/>
              <w:rPr>
                <w:lang w:val="sv-SE"/>
              </w:rPr>
            </w:pPr>
            <w:r>
              <w:rPr>
                <w:rFonts w:hint="eastAsia"/>
                <w:lang w:val="en-US" w:eastAsia="zh-CN"/>
              </w:rPr>
              <w:t>Add an abbreviation defined for DAPS in section 3.2.</w:t>
            </w:r>
          </w:p>
          <w:p>
            <w:pPr>
              <w:pStyle w:val="116"/>
              <w:numPr>
                <w:ilvl w:val="0"/>
                <w:numId w:val="1"/>
              </w:numPr>
              <w:spacing w:after="0"/>
              <w:ind w:left="100"/>
              <w:rPr>
                <w:lang w:val="sv-SE"/>
              </w:rPr>
            </w:pPr>
            <w:r>
              <w:rPr>
                <w:rFonts w:hint="eastAsia"/>
                <w:lang w:val="en-US" w:eastAsia="zh-CN"/>
              </w:rPr>
              <w:t xml:space="preserve">Change </w:t>
            </w:r>
            <w:r>
              <w:rPr>
                <w:rFonts w:hint="default"/>
                <w:lang w:val="en-US" w:eastAsia="zh-CN"/>
              </w:rPr>
              <w:t>“</w:t>
            </w:r>
            <w:r>
              <w:rPr>
                <w:rFonts w:hint="eastAsia"/>
                <w:lang w:val="en-US" w:eastAsia="zh-CN"/>
              </w:rPr>
              <w:t>Simultaneous CHO and CPC operation is not supported in this release.</w:t>
            </w:r>
            <w:r>
              <w:rPr>
                <w:rFonts w:hint="default"/>
                <w:lang w:val="en-US" w:eastAsia="zh-CN"/>
              </w:rPr>
              <w:t>”</w:t>
            </w:r>
            <w:r>
              <w:rPr>
                <w:rFonts w:hint="eastAsia"/>
                <w:lang w:val="en-US" w:eastAsia="zh-CN"/>
              </w:rPr>
              <w:t xml:space="preserve"> to </w:t>
            </w:r>
            <w:r>
              <w:rPr>
                <w:rFonts w:hint="default"/>
                <w:lang w:val="en-US" w:eastAsia="zh-CN"/>
              </w:rPr>
              <w:t>“Configuration of both CHO and CPC conditions is not supported in this release.”</w:t>
            </w:r>
            <w:r>
              <w:rPr>
                <w:rFonts w:hint="eastAsia"/>
                <w:lang w:val="en-US" w:eastAsia="zh-CN"/>
              </w:rPr>
              <w:t xml:space="preserve"> in section 10.1.</w:t>
            </w:r>
          </w:p>
          <w:p>
            <w:pPr>
              <w:pStyle w:val="116"/>
              <w:numPr>
                <w:ilvl w:val="0"/>
                <w:numId w:val="1"/>
              </w:numPr>
              <w:spacing w:after="0"/>
              <w:ind w:left="100"/>
              <w:rPr>
                <w:lang w:val="sv-SE"/>
              </w:rPr>
            </w:pPr>
            <w:r>
              <w:rPr>
                <w:lang w:val="sv-SE"/>
              </w:rPr>
              <w:t xml:space="preserve">It is clarified that </w:t>
            </w:r>
            <w:r>
              <w:rPr>
                <w:lang w:val="en-US" w:eastAsia="zh-CN"/>
              </w:rPr>
              <w:t>“</w:t>
            </w:r>
            <w:r>
              <w:rPr>
                <w:rFonts w:hint="eastAsia"/>
                <w:lang w:val="en-US" w:eastAsia="zh-CN"/>
              </w:rPr>
              <w:t>In case MR-DC is configured, CHO is only supported in Master Node to eNB/gNB Change procedure in this release.</w:t>
            </w:r>
            <w:r>
              <w:rPr>
                <w:lang w:val="en-US" w:eastAsia="zh-CN"/>
              </w:rPr>
              <w:t>”</w:t>
            </w:r>
            <w:r>
              <w:rPr>
                <w:rFonts w:hint="eastAsia"/>
                <w:lang w:val="en-US" w:eastAsia="zh-CN"/>
              </w:rPr>
              <w:t xml:space="preserve"> in section 10.1</w:t>
            </w:r>
            <w:r>
              <w:rPr>
                <w:lang w:val="sv-SE"/>
              </w:rPr>
              <w:t>.</w:t>
            </w:r>
          </w:p>
          <w:p>
            <w:pPr>
              <w:pStyle w:val="116"/>
              <w:numPr>
                <w:ilvl w:val="0"/>
                <w:numId w:val="1"/>
              </w:numPr>
              <w:spacing w:after="0"/>
              <w:ind w:left="100"/>
              <w:rPr>
                <w:lang w:val="sv-SE"/>
              </w:rPr>
            </w:pPr>
            <w:r>
              <w:rPr>
                <w:rFonts w:hint="eastAsia"/>
                <w:lang w:val="en-US" w:eastAsia="zh-CN"/>
              </w:rPr>
              <w:t xml:space="preserve">Change </w:t>
            </w:r>
            <w:r>
              <w:rPr>
                <w:lang w:val="en-US" w:eastAsia="zh-CN"/>
              </w:rPr>
              <w:t>“</w:t>
            </w:r>
            <w:r>
              <w:rPr>
                <w:lang w:eastAsia="zh-CN"/>
              </w:rPr>
              <w:t xml:space="preserve">If CPC is configured in the </w:t>
            </w:r>
            <w:r>
              <w:rPr>
                <w:i/>
              </w:rPr>
              <w:t>RRCConnectionReconfiguration</w:t>
            </w:r>
            <w:r>
              <w:rPr>
                <w:i/>
                <w:lang w:eastAsia="zh-CN"/>
              </w:rPr>
              <w:t>,</w:t>
            </w:r>
            <w:r>
              <w:t xml:space="preserve"> </w:t>
            </w:r>
            <w:r>
              <w:rPr>
                <w:lang w:eastAsia="zh-CN"/>
              </w:rPr>
              <w:t xml:space="preserve">the </w:t>
            </w:r>
            <w:r>
              <w:t xml:space="preserve">UE maintains the connection with source </w:t>
            </w:r>
            <w:r>
              <w:rPr>
                <w:lang w:eastAsia="zh-CN"/>
              </w:rPr>
              <w:t>PSCell</w:t>
            </w:r>
            <w:r>
              <w:t xml:space="preserve"> after receiving</w:t>
            </w:r>
            <w:r>
              <w:rPr>
                <w:lang w:eastAsia="zh-CN"/>
              </w:rPr>
              <w:t xml:space="preserve"> the </w:t>
            </w:r>
            <w:r>
              <w:t>C</w:t>
            </w:r>
            <w:r>
              <w:rPr>
                <w:lang w:eastAsia="zh-CN"/>
              </w:rPr>
              <w:t>PC</w:t>
            </w:r>
            <w:r>
              <w:t xml:space="preserve"> configuration, and starts evaluating the C</w:t>
            </w:r>
            <w:r>
              <w:rPr>
                <w:lang w:eastAsia="zh-CN"/>
              </w:rPr>
              <w:t>PC</w:t>
            </w:r>
            <w:r>
              <w:t xml:space="preserve"> execution conditions for</w:t>
            </w:r>
            <w:r>
              <w:rPr>
                <w:rFonts w:hint="eastAsia"/>
                <w:lang w:val="en-US" w:eastAsia="zh-CN"/>
              </w:rPr>
              <w:t xml:space="preserve"> </w:t>
            </w:r>
            <w:r>
              <w:t xml:space="preserve">candidate </w:t>
            </w:r>
            <w:r>
              <w:rPr>
                <w:lang w:eastAsia="zh-CN"/>
              </w:rPr>
              <w:t>PSC</w:t>
            </w:r>
            <w:r>
              <w:t>ell(s).</w:t>
            </w:r>
            <w:r>
              <w:rPr>
                <w:lang w:val="en-US" w:eastAsia="zh-CN"/>
              </w:rPr>
              <w:t>”</w:t>
            </w:r>
            <w:r>
              <w:rPr>
                <w:rFonts w:hint="eastAsia"/>
                <w:lang w:val="en-US" w:eastAsia="zh-CN"/>
              </w:rPr>
              <w:t xml:space="preserve"> to </w:t>
            </w:r>
            <w:r>
              <w:rPr>
                <w:lang w:val="en-US" w:eastAsia="zh-CN"/>
              </w:rPr>
              <w:t>“</w:t>
            </w:r>
            <w:r>
              <w:rPr>
                <w:lang w:eastAsia="zh-CN"/>
              </w:rPr>
              <w:t xml:space="preserve">If CPC is configured in the </w:t>
            </w:r>
            <w:r>
              <w:rPr>
                <w:i/>
              </w:rPr>
              <w:t>RRCConnectionReconfiguration</w:t>
            </w:r>
            <w:r>
              <w:rPr>
                <w:i/>
                <w:lang w:eastAsia="zh-CN"/>
              </w:rPr>
              <w:t>,</w:t>
            </w:r>
            <w:r>
              <w:t xml:space="preserve"> </w:t>
            </w:r>
            <w:r>
              <w:rPr>
                <w:lang w:eastAsia="zh-CN"/>
              </w:rPr>
              <w:t xml:space="preserve">the </w:t>
            </w:r>
            <w:r>
              <w:t xml:space="preserve">UE maintains the connection with </w:t>
            </w:r>
            <w:r>
              <w:rPr>
                <w:rFonts w:hint="eastAsia"/>
                <w:lang w:val="en-US" w:eastAsia="zh-CN"/>
              </w:rPr>
              <w:t xml:space="preserve">the </w:t>
            </w:r>
            <w:r>
              <w:t xml:space="preserve">source </w:t>
            </w:r>
            <w:r>
              <w:rPr>
                <w:lang w:eastAsia="zh-CN"/>
              </w:rPr>
              <w:t>PSCell</w:t>
            </w:r>
            <w:r>
              <w:t xml:space="preserve"> after receiving</w:t>
            </w:r>
            <w:r>
              <w:rPr>
                <w:lang w:eastAsia="zh-CN"/>
              </w:rPr>
              <w:t xml:space="preserve"> the </w:t>
            </w:r>
            <w:r>
              <w:t>C</w:t>
            </w:r>
            <w:r>
              <w:rPr>
                <w:lang w:eastAsia="zh-CN"/>
              </w:rPr>
              <w:t>PC</w:t>
            </w:r>
            <w:r>
              <w:t xml:space="preserve"> configuration, and starts evaluating </w:t>
            </w:r>
            <w:r>
              <w:rPr>
                <w:u w:val="single"/>
              </w:rPr>
              <w:t>the</w:t>
            </w:r>
            <w:r>
              <w:t xml:space="preserve"> C</w:t>
            </w:r>
            <w:r>
              <w:rPr>
                <w:lang w:eastAsia="zh-CN"/>
              </w:rPr>
              <w:t>PC</w:t>
            </w:r>
            <w:r>
              <w:t xml:space="preserve"> execution conditions for </w:t>
            </w:r>
            <w:r>
              <w:rPr>
                <w:rFonts w:hint="eastAsia"/>
                <w:u w:val="single"/>
                <w:lang w:val="en-US" w:eastAsia="zh-CN"/>
              </w:rPr>
              <w:t>the</w:t>
            </w:r>
            <w:r>
              <w:rPr>
                <w:rFonts w:hint="eastAsia"/>
                <w:lang w:val="en-US" w:eastAsia="zh-CN"/>
              </w:rPr>
              <w:t xml:space="preserve"> </w:t>
            </w:r>
            <w:r>
              <w:t xml:space="preserve">candidate </w:t>
            </w:r>
            <w:r>
              <w:rPr>
                <w:lang w:eastAsia="zh-CN"/>
              </w:rPr>
              <w:t>PSC</w:t>
            </w:r>
            <w:r>
              <w:t>ell(s).</w:t>
            </w:r>
            <w:r>
              <w:rPr>
                <w:lang w:val="en-US" w:eastAsia="zh-CN"/>
              </w:rPr>
              <w:t>”</w:t>
            </w:r>
            <w:r>
              <w:rPr>
                <w:rFonts w:hint="eastAsia"/>
                <w:lang w:val="en-US" w:eastAsia="zh-CN"/>
              </w:rPr>
              <w:t xml:space="preserve"> in section 10.3.1.</w:t>
            </w:r>
          </w:p>
          <w:p>
            <w:pPr>
              <w:pStyle w:val="116"/>
              <w:numPr>
                <w:ilvl w:val="0"/>
                <w:numId w:val="1"/>
              </w:numPr>
              <w:spacing w:after="0"/>
              <w:ind w:left="100"/>
              <w:rPr>
                <w:lang w:val="sv-SE"/>
              </w:rPr>
            </w:pPr>
            <w:r>
              <w:rPr>
                <w:rFonts w:hint="eastAsia"/>
                <w:lang w:val="en-US" w:eastAsia="zh-CN"/>
              </w:rPr>
              <w:t xml:space="preserve">Set </w:t>
            </w:r>
            <w:r>
              <w:rPr>
                <w:lang w:val="en-US" w:eastAsia="zh-CN"/>
              </w:rPr>
              <w:t>“</w:t>
            </w:r>
            <w:r>
              <w:rPr>
                <w:rFonts w:hint="eastAsia"/>
                <w:lang w:val="en-US" w:eastAsia="zh-CN"/>
              </w:rPr>
              <w:t>RRC Transfer</w:t>
            </w:r>
            <w:r>
              <w:rPr>
                <w:lang w:val="en-US" w:eastAsia="zh-CN"/>
              </w:rPr>
              <w:t>”</w:t>
            </w:r>
            <w:r>
              <w:rPr>
                <w:rFonts w:hint="eastAsia"/>
                <w:lang w:val="en-US" w:eastAsia="zh-CN"/>
              </w:rPr>
              <w:t xml:space="preserve"> as italic in </w:t>
            </w:r>
            <w:r>
              <w:rPr>
                <w:lang w:val="en-US" w:eastAsia="zh-CN"/>
              </w:rPr>
              <w:t>“</w:t>
            </w:r>
            <w:r>
              <w:rPr>
                <w:rFonts w:hint="eastAsia"/>
                <w:lang w:val="sv-SE"/>
              </w:rPr>
              <w:t xml:space="preserve">The </w:t>
            </w:r>
            <w:r>
              <w:rPr>
                <w:rFonts w:hint="eastAsia"/>
                <w:i/>
                <w:iCs/>
                <w:lang w:val="sv-SE"/>
              </w:rPr>
              <w:t xml:space="preserve">RRCReconfigurationComplete </w:t>
            </w:r>
            <w:r>
              <w:rPr>
                <w:rFonts w:hint="eastAsia"/>
                <w:lang w:val="sv-SE"/>
              </w:rPr>
              <w:t>is forwarded to the SN embedded in RRC Transfer.</w:t>
            </w:r>
            <w:r>
              <w:rPr>
                <w:lang w:val="en-US" w:eastAsia="zh-CN"/>
              </w:rPr>
              <w:t>”</w:t>
            </w:r>
            <w:r>
              <w:rPr>
                <w:rFonts w:hint="eastAsia"/>
                <w:lang w:val="en-US" w:eastAsia="zh-CN"/>
              </w:rPr>
              <w:t xml:space="preserve"> in section 10.3.2.</w:t>
            </w:r>
          </w:p>
          <w:p>
            <w:pPr>
              <w:pStyle w:val="116"/>
              <w:numPr>
                <w:ilvl w:val="0"/>
                <w:numId w:val="1"/>
              </w:numPr>
              <w:spacing w:after="0"/>
              <w:ind w:left="100"/>
              <w:rPr>
                <w:lang w:val="sv-SE"/>
              </w:rPr>
            </w:pPr>
            <w:r>
              <w:rPr>
                <w:rFonts w:hint="eastAsia"/>
                <w:lang w:val="en-US" w:eastAsia="zh-CN"/>
              </w:rPr>
              <w:t xml:space="preserve">Change </w:t>
            </w:r>
            <w:r>
              <w:rPr>
                <w:lang w:val="en-US" w:eastAsia="zh-CN"/>
              </w:rPr>
              <w:t>“</w:t>
            </w:r>
            <w:r>
              <w:rPr>
                <w:rFonts w:hint="eastAsia"/>
                <w:lang w:val="en-US" w:eastAsia="zh-CN"/>
              </w:rPr>
              <w:t>Only intra-SN CPC is supported</w:t>
            </w:r>
            <w:r>
              <w:rPr>
                <w:lang w:val="en-US" w:eastAsia="zh-CN"/>
              </w:rPr>
              <w:t>”</w:t>
            </w:r>
            <w:r>
              <w:rPr>
                <w:rFonts w:hint="eastAsia"/>
                <w:lang w:val="en-US" w:eastAsia="zh-CN"/>
              </w:rPr>
              <w:t xml:space="preserve"> to </w:t>
            </w:r>
            <w:r>
              <w:rPr>
                <w:lang w:val="en-US" w:eastAsia="zh-CN"/>
              </w:rPr>
              <w:t>“</w:t>
            </w:r>
            <w:r>
              <w:rPr>
                <w:rFonts w:hint="eastAsia"/>
                <w:lang w:val="en-US" w:eastAsia="zh-CN"/>
              </w:rPr>
              <w:t xml:space="preserve">Only intra-SN CPC </w:t>
            </w:r>
            <w:r>
              <w:rPr>
                <w:rFonts w:hint="eastAsia"/>
                <w:u w:val="single"/>
                <w:lang w:val="en-US" w:eastAsia="zh-CN"/>
              </w:rPr>
              <w:t>without MN involvement</w:t>
            </w:r>
            <w:r>
              <w:rPr>
                <w:rFonts w:hint="eastAsia"/>
                <w:lang w:val="en-US" w:eastAsia="zh-CN"/>
              </w:rPr>
              <w:t xml:space="preserve"> is supported</w:t>
            </w:r>
            <w:r>
              <w:rPr>
                <w:lang w:val="en-US" w:eastAsia="zh-CN"/>
              </w:rPr>
              <w:t>”</w:t>
            </w:r>
            <w:r>
              <w:rPr>
                <w:rFonts w:hint="eastAsia"/>
                <w:lang w:val="en-US" w:eastAsia="zh-CN"/>
              </w:rPr>
              <w:t xml:space="preserve"> in section 10.6.</w:t>
            </w:r>
          </w:p>
          <w:p>
            <w:pPr>
              <w:pStyle w:val="116"/>
              <w:numPr>
                <w:ilvl w:val="0"/>
                <w:numId w:val="1"/>
              </w:numPr>
              <w:spacing w:after="0"/>
              <w:ind w:left="100"/>
              <w:rPr>
                <w:lang w:val="sv-SE"/>
              </w:rPr>
            </w:pPr>
            <w:r>
              <w:rPr>
                <w:rFonts w:hint="eastAsia"/>
                <w:lang w:val="en-US" w:eastAsia="zh-CN"/>
              </w:rPr>
              <w:t xml:space="preserve">Change </w:t>
            </w:r>
            <w:r>
              <w:rPr>
                <w:lang w:val="en-US" w:eastAsia="zh-CN"/>
              </w:rPr>
              <w:t xml:space="preserve">“CPC configuration in HO command, PSCell change command or </w:t>
            </w:r>
            <w:r>
              <w:rPr>
                <w:rFonts w:hint="eastAsia"/>
                <w:lang w:val="en-US" w:eastAsia="zh-CN"/>
              </w:rPr>
              <w:t>CPC</w:t>
            </w:r>
            <w:r>
              <w:rPr>
                <w:lang w:val="en-US" w:eastAsia="zh-CN"/>
              </w:rPr>
              <w:t xml:space="preserve"> configuration is not supported.”</w:t>
            </w:r>
            <w:r>
              <w:rPr>
                <w:rFonts w:hint="eastAsia"/>
                <w:lang w:val="en-US" w:eastAsia="zh-CN"/>
              </w:rPr>
              <w:t xml:space="preserve"> to </w:t>
            </w:r>
            <w:r>
              <w:rPr>
                <w:lang w:val="en-US" w:eastAsia="zh-CN"/>
              </w:rPr>
              <w:t xml:space="preserve">“CPC configuration in HO command, PSCell change command or </w:t>
            </w:r>
            <w:r>
              <w:rPr>
                <w:u w:val="single"/>
                <w:lang w:val="en-US" w:eastAsia="zh-CN"/>
              </w:rPr>
              <w:t>conditional</w:t>
            </w:r>
            <w:r>
              <w:rPr>
                <w:lang w:val="en-US" w:eastAsia="zh-CN"/>
              </w:rPr>
              <w:t xml:space="preserve"> configuration is not supported.”</w:t>
            </w:r>
            <w:r>
              <w:rPr>
                <w:rFonts w:hint="eastAsia"/>
                <w:lang w:val="en-US" w:eastAsia="zh-CN"/>
              </w:rPr>
              <w:t xml:space="preserve"> in section 10.6.</w:t>
            </w:r>
          </w:p>
          <w:p>
            <w:pPr>
              <w:pStyle w:val="116"/>
              <w:numPr>
                <w:ilvl w:val="0"/>
                <w:numId w:val="1"/>
              </w:numPr>
              <w:spacing w:after="0"/>
              <w:ind w:left="100"/>
              <w:rPr>
                <w:lang w:val="sv-SE"/>
              </w:rPr>
            </w:pPr>
            <w:r>
              <w:rPr>
                <w:lang w:val="en-US" w:eastAsia="zh-CN"/>
              </w:rPr>
              <w:t>Additional notes are added in Annex B</w:t>
            </w:r>
            <w:r>
              <w:rPr>
                <w:rFonts w:hint="eastAsia"/>
                <w:lang w:val="en-US" w:eastAsia="zh-CN"/>
              </w:rPr>
              <w:t>.</w:t>
            </w:r>
          </w:p>
          <w:p>
            <w:pPr>
              <w:pStyle w:val="116"/>
              <w:spacing w:after="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lang w:val="it-IT" w:eastAsia="zh-CN"/>
              </w:rPr>
            </w:pPr>
            <w:r>
              <w:rPr>
                <w:lang w:val="sv-SE"/>
              </w:rPr>
              <w:t xml:space="preserve">NR SA, NR-DC, </w:t>
            </w:r>
            <w:r>
              <w:rPr>
                <w:rFonts w:hint="eastAsia"/>
                <w:lang w:val="it-IT" w:eastAsia="zh-CN"/>
              </w:rPr>
              <w:t>(NG)</w:t>
            </w:r>
            <w:r>
              <w:rPr>
                <w:lang w:val="sv-SE"/>
              </w:rPr>
              <w:t>NE-DC</w:t>
            </w:r>
            <w:r>
              <w:rPr>
                <w:rFonts w:hint="eastAsia"/>
                <w:lang w:val="it-IT" w:eastAsia="zh-CN"/>
              </w:rPr>
              <w:t>, EN-DC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lang w:val="en-US" w:eastAsia="zh-CN"/>
              </w:rPr>
            </w:pPr>
            <w:r>
              <w:rPr>
                <w:rFonts w:hint="eastAsia"/>
                <w:lang w:val="en-US" w:eastAsia="zh-CN"/>
              </w:rPr>
              <w:t>CHO, CPC</w:t>
            </w:r>
            <w:r>
              <w:rPr>
                <w:lang w:val="en-US" w:eastAsia="zh-CN"/>
              </w:rPr>
              <w:t>, DAPS HO</w:t>
            </w:r>
          </w:p>
          <w:p>
            <w:pPr>
              <w:pStyle w:val="116"/>
              <w:spacing w:after="0"/>
              <w:ind w:left="100"/>
              <w:rPr>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there is no inter-operability issue.</w:t>
            </w:r>
          </w:p>
          <w:p>
            <w:pPr>
              <w:pStyle w:val="116"/>
              <w:spacing w:after="0"/>
              <w:ind w:left="100"/>
              <w:rPr>
                <w:lang w:val="sv-SE"/>
              </w:rPr>
            </w:pPr>
          </w:p>
          <w:p>
            <w:pPr>
              <w:pStyle w:val="116"/>
              <w:spacing w:after="0"/>
              <w:ind w:left="100"/>
              <w:rPr>
                <w:lang w:val="en-US" w:eastAsia="zh-CN"/>
              </w:rPr>
            </w:pPr>
            <w:r>
              <w:rPr>
                <w:lang w:val="sv-SE"/>
              </w:rPr>
              <w:t xml:space="preserve">If the UE implements the CR and the network does not, the </w:t>
            </w:r>
            <w:r>
              <w:rPr>
                <w:rFonts w:hint="eastAsia"/>
                <w:lang w:val="en-US" w:eastAsia="zh-CN"/>
              </w:rPr>
              <w:t>NW may configure CHO in Inter-Master Node handover with/without Secondary Node change procedure, intra-SN CPC with MN involvement, or CPC configuration in CHO configuration, which shall cause the (re)configuration failure since the UE can not support such configuration.</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en-US" w:eastAsia="zh-CN"/>
              </w:rPr>
            </w:pPr>
            <w:r>
              <w:rPr>
                <w:lang w:val="sv-SE"/>
              </w:rPr>
              <w:t xml:space="preserve">It </w:t>
            </w:r>
            <w:r>
              <w:rPr>
                <w:lang w:val="en-US" w:eastAsia="zh-CN"/>
              </w:rPr>
              <w:t>remains unclear whether</w:t>
            </w:r>
            <w:r>
              <w:rPr>
                <w:rFonts w:hint="eastAsia"/>
                <w:lang w:val="en-US" w:eastAsia="zh-CN"/>
              </w:rPr>
              <w:t xml:space="preserve"> CHO in Inter-Master Node handover with/without Secondary Node change, intra-SN CPC with MN involvement or CPC configuration in CHO configuration can be supported.</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lang w:val="en-US" w:eastAsia="zh-CN"/>
              </w:rPr>
            </w:pPr>
            <w:r>
              <w:rPr>
                <w:rFonts w:hint="eastAsia"/>
                <w:lang w:val="en-US" w:eastAsia="zh-CN"/>
              </w:rPr>
              <w:t>3.2, 10.1, 10.3.1, 10.3.2, 10.6</w:t>
            </w:r>
            <w:r>
              <w:rPr>
                <w:lang w:val="en-US" w:eastAsia="zh-CN"/>
              </w:rPr>
              <w:t>, Annex B</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37231951"/>
            <w:bookmarkStart w:id="9" w:name="_Toc29376060"/>
            <w:bookmarkStart w:id="10" w:name="_Toc20387980"/>
            <w:bookmarkStart w:id="11" w:name="_Toc20387981"/>
            <w:bookmarkStart w:id="12" w:name="_Toc37231952"/>
            <w:bookmarkStart w:id="13" w:name="_Toc46502006"/>
            <w:bookmarkStart w:id="14" w:name="_Toc46502007"/>
            <w:bookmarkStart w:id="15" w:name="_Toc29376061"/>
            <w:r>
              <w:rPr>
                <w:rFonts w:hint="eastAsia" w:eastAsia="宋体"/>
                <w:color w:val="FF0000"/>
                <w:sz w:val="28"/>
                <w:szCs w:val="28"/>
                <w:lang w:eastAsia="zh-CN"/>
              </w:rPr>
              <w:t>CHANGE START</w:t>
            </w:r>
          </w:p>
        </w:tc>
      </w:tr>
      <w:bookmarkEnd w:id="8"/>
      <w:bookmarkEnd w:id="9"/>
      <w:bookmarkEnd w:id="10"/>
      <w:bookmarkEnd w:id="11"/>
      <w:bookmarkEnd w:id="12"/>
      <w:bookmarkEnd w:id="13"/>
      <w:bookmarkEnd w:id="14"/>
      <w:bookmarkEnd w:id="15"/>
    </w:tbl>
    <w:p>
      <w:pPr>
        <w:pStyle w:val="3"/>
      </w:pPr>
      <w:bookmarkStart w:id="16" w:name="_Toc46492762"/>
      <w:bookmarkStart w:id="17" w:name="_Toc29248312"/>
      <w:bookmarkStart w:id="18" w:name="_Toc37200896"/>
      <w:bookmarkStart w:id="19" w:name="_Toc52568288"/>
      <w:bookmarkStart w:id="20" w:name="_Toc46492810"/>
      <w:bookmarkStart w:id="21" w:name="_Toc29248357"/>
      <w:bookmarkStart w:id="22" w:name="_Toc52568336"/>
      <w:bookmarkStart w:id="23" w:name="_Toc37200944"/>
      <w:r>
        <w:t>3.2</w:t>
      </w:r>
      <w:r>
        <w:tab/>
      </w:r>
      <w:r>
        <w:t>Abbreviations</w:t>
      </w:r>
      <w:bookmarkEnd w:id="16"/>
      <w:bookmarkEnd w:id="17"/>
      <w:bookmarkEnd w:id="18"/>
      <w:bookmarkEnd w:id="19"/>
    </w:p>
    <w:p>
      <w:pPr>
        <w:keepNext/>
      </w:pPr>
      <w:r>
        <w:t>For the purposes of the present document, the abbreviations given in TR 21.905 [1] and the following apply. An abbreviation defined in the present document takes precedence over the definition of the same abbreviation, if any, in TR 21.905 [1] and TS 36.300 [2].</w:t>
      </w:r>
    </w:p>
    <w:p>
      <w:pPr>
        <w:pStyle w:val="78"/>
      </w:pPr>
      <w:r>
        <w:rPr>
          <w:rFonts w:eastAsia="宋体"/>
          <w:lang w:eastAsia="zh-CN"/>
        </w:rPr>
        <w:t>CHO</w:t>
      </w:r>
      <w:r>
        <w:rPr>
          <w:rFonts w:eastAsia="宋体"/>
          <w:lang w:eastAsia="zh-CN"/>
        </w:rPr>
        <w:tab/>
      </w:r>
      <w:r>
        <w:t>Conditional Handover</w:t>
      </w:r>
    </w:p>
    <w:p>
      <w:pPr>
        <w:pStyle w:val="78"/>
      </w:pPr>
      <w:r>
        <w:t>CLI</w:t>
      </w:r>
      <w:r>
        <w:tab/>
      </w:r>
      <w:r>
        <w:t>Cross Link Interference</w:t>
      </w:r>
    </w:p>
    <w:p>
      <w:pPr>
        <w:pStyle w:val="78"/>
        <w:rPr>
          <w:ins w:id="0" w:author="ZTE" w:date="2020-10-23T09:38:43Z"/>
        </w:rPr>
      </w:pPr>
      <w:r>
        <w:t>CPC</w:t>
      </w:r>
      <w:r>
        <w:tab/>
      </w:r>
      <w:r>
        <w:t>Conditional PSCell Change</w:t>
      </w:r>
    </w:p>
    <w:p>
      <w:pPr>
        <w:pStyle w:val="78"/>
        <w:rPr>
          <w:rFonts w:hint="default" w:eastAsia="宋体"/>
          <w:lang w:val="en-US" w:eastAsia="zh-CN"/>
        </w:rPr>
      </w:pPr>
      <w:ins w:id="1" w:author="ZTE" w:date="2020-10-23T09:38:44Z">
        <w:r>
          <w:rPr>
            <w:rFonts w:hint="eastAsia" w:eastAsia="宋体"/>
            <w:lang w:val="en-US" w:eastAsia="zh-CN"/>
          </w:rPr>
          <w:t>DA</w:t>
        </w:r>
      </w:ins>
      <w:ins w:id="2" w:author="ZTE" w:date="2020-10-23T09:38:45Z">
        <w:r>
          <w:rPr>
            <w:rFonts w:hint="eastAsia" w:eastAsia="宋体"/>
            <w:lang w:val="en-US" w:eastAsia="zh-CN"/>
          </w:rPr>
          <w:t>PS</w:t>
        </w:r>
      </w:ins>
      <w:ins w:id="3" w:author="ZTE" w:date="2020-10-23T09:39:17Z">
        <w:r>
          <w:rPr>
            <w:rFonts w:hint="eastAsia" w:eastAsia="宋体"/>
            <w:lang w:val="en-US" w:eastAsia="zh-CN"/>
          </w:rPr>
          <w:t xml:space="preserve"> </w:t>
        </w:r>
      </w:ins>
      <w:ins w:id="4" w:author="ZTE" w:date="2020-10-23T09:39:18Z">
        <w:r>
          <w:rPr>
            <w:rFonts w:hint="eastAsia" w:eastAsia="宋体"/>
            <w:lang w:val="en-US" w:eastAsia="zh-CN"/>
          </w:rPr>
          <w:t xml:space="preserve">   </w:t>
        </w:r>
      </w:ins>
      <w:ins w:id="5" w:author="ZTE" w:date="2020-10-23T09:39:19Z">
        <w:r>
          <w:rPr>
            <w:rFonts w:hint="eastAsia" w:eastAsia="宋体"/>
            <w:lang w:val="en-US" w:eastAsia="zh-CN"/>
          </w:rPr>
          <w:t xml:space="preserve">     </w:t>
        </w:r>
      </w:ins>
      <w:ins w:id="6" w:author="ZTE" w:date="2020-10-23T09:39:21Z">
        <w:r>
          <w:rPr/>
          <w:t>Dual Active Protocol Stack</w:t>
        </w:r>
      </w:ins>
    </w:p>
    <w:p>
      <w:pPr>
        <w:pStyle w:val="78"/>
      </w:pPr>
      <w:r>
        <w:t>DC</w:t>
      </w:r>
      <w:r>
        <w:tab/>
      </w:r>
      <w:r>
        <w:t>Intra-E-UTRA Dual Connectivity</w:t>
      </w:r>
    </w:p>
    <w:p>
      <w:pPr>
        <w:pStyle w:val="78"/>
      </w:pPr>
      <w:r>
        <w:t>DCP</w:t>
      </w:r>
      <w:r>
        <w:tab/>
      </w:r>
      <w:r>
        <w:t>DCI with CRC scrambled by PS-RNTI</w:t>
      </w:r>
    </w:p>
    <w:p>
      <w:pPr>
        <w:pStyle w:val="78"/>
      </w:pPr>
      <w:r>
        <w:t>EN-DC</w:t>
      </w:r>
      <w:r>
        <w:tab/>
      </w:r>
      <w:r>
        <w:t>E-UTRA-NR Dual Connectivity</w:t>
      </w:r>
    </w:p>
    <w:p>
      <w:pPr>
        <w:pStyle w:val="78"/>
      </w:pPr>
      <w:r>
        <w:t>IAB</w:t>
      </w:r>
      <w:r>
        <w:tab/>
      </w:r>
      <w:r>
        <w:t>Integrated Access and Backhaul</w:t>
      </w:r>
    </w:p>
    <w:p>
      <w:pPr>
        <w:pStyle w:val="78"/>
      </w:pPr>
      <w:r>
        <w:t>MCG</w:t>
      </w:r>
      <w:r>
        <w:tab/>
      </w:r>
      <w:r>
        <w:t>Master Cell Group</w:t>
      </w:r>
    </w:p>
    <w:p>
      <w:pPr>
        <w:pStyle w:val="78"/>
      </w:pPr>
      <w:r>
        <w:t>MN</w:t>
      </w:r>
      <w:r>
        <w:tab/>
      </w:r>
      <w:r>
        <w:t>Master Node</w:t>
      </w:r>
    </w:p>
    <w:p>
      <w:pPr>
        <w:pStyle w:val="78"/>
      </w:pPr>
      <w:r>
        <w:t>MR-DC</w:t>
      </w:r>
      <w:r>
        <w:tab/>
      </w:r>
      <w:r>
        <w:t>Multi-Radio Dual Connectivity</w:t>
      </w:r>
    </w:p>
    <w:p>
      <w:pPr>
        <w:pStyle w:val="78"/>
      </w:pPr>
      <w:r>
        <w:t>NE-DC</w:t>
      </w:r>
      <w:r>
        <w:tab/>
      </w:r>
      <w:r>
        <w:t>NR-E-UTRA Dual Connectivity</w:t>
      </w:r>
    </w:p>
    <w:p>
      <w:pPr>
        <w:pStyle w:val="78"/>
      </w:pPr>
      <w:r>
        <w:t>NGEN-DC</w:t>
      </w:r>
      <w:r>
        <w:tab/>
      </w:r>
      <w:r>
        <w:t>NG-RAN E-UTRA-NR Dual Connectivity</w:t>
      </w:r>
    </w:p>
    <w:p>
      <w:pPr>
        <w:pStyle w:val="78"/>
      </w:pPr>
      <w:r>
        <w:t>NR-DC</w:t>
      </w:r>
      <w:r>
        <w:tab/>
      </w:r>
      <w:r>
        <w:t>NR-NR Dual Connectivity</w:t>
      </w:r>
    </w:p>
    <w:p>
      <w:pPr>
        <w:pStyle w:val="78"/>
      </w:pPr>
      <w:r>
        <w:t>SCG</w:t>
      </w:r>
      <w:r>
        <w:tab/>
      </w:r>
      <w:r>
        <w:t>Secondary Cell Group</w:t>
      </w:r>
    </w:p>
    <w:p>
      <w:pPr>
        <w:pStyle w:val="78"/>
      </w:pPr>
      <w:r>
        <w:t>SMTC</w:t>
      </w:r>
      <w:r>
        <w:tab/>
      </w:r>
      <w:r>
        <w:t>SS/PBCH block Measurement Timing Configuration</w:t>
      </w:r>
    </w:p>
    <w:p>
      <w:pPr>
        <w:pStyle w:val="78"/>
      </w:pPr>
      <w:r>
        <w:t>SN</w:t>
      </w:r>
      <w:r>
        <w:tab/>
      </w:r>
      <w:r>
        <w:t>Secondary Node</w:t>
      </w:r>
    </w:p>
    <w:p>
      <w:pPr>
        <w:pStyle w:val="76"/>
        <w:rPr>
          <w:rFonts w:hint="eastAsia"/>
          <w:lang w:val="en-US" w:eastAsia="zh-CN"/>
        </w:rPr>
      </w:pPr>
      <w:r>
        <w:t>V2X</w:t>
      </w:r>
      <w:r>
        <w:tab/>
      </w:r>
      <w:r>
        <w:t>Vehicle-to-Everything</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val="en-US" w:eastAsia="zh-CN"/>
              </w:rPr>
              <w:t>NEXT CHANGE</w:t>
            </w:r>
          </w:p>
        </w:tc>
      </w:tr>
    </w:tbl>
    <w:p>
      <w:pPr>
        <w:pStyle w:val="2"/>
      </w:pPr>
      <w:r>
        <w:t>10</w:t>
      </w:r>
      <w:r>
        <w:tab/>
      </w:r>
      <w:r>
        <w:t>Multi-Connectivity operation related aspects</w:t>
      </w:r>
    </w:p>
    <w:p>
      <w:pPr>
        <w:pStyle w:val="3"/>
      </w:pPr>
      <w:r>
        <w:t>10.1</w:t>
      </w:r>
      <w:r>
        <w:tab/>
      </w:r>
      <w:r>
        <w:t>General</w:t>
      </w:r>
    </w:p>
    <w:p>
      <w:r>
        <w:t>Similar procedures as defined under clause 10.1.2.8 (Dual Connectivity operation) in TS 36.300 [2] apply for MR-DC.</w:t>
      </w:r>
    </w:p>
    <w:p>
      <w:pPr>
        <w:rPr>
          <w:lang w:eastAsia="zh-CN"/>
        </w:rPr>
      </w:pPr>
      <w:r>
        <w:t xml:space="preserve">Similar </w:t>
      </w:r>
      <w:r>
        <w:rPr>
          <w:lang w:eastAsia="zh-CN"/>
        </w:rPr>
        <w:t xml:space="preserve">CHO </w:t>
      </w:r>
      <w:r>
        <w:t>pr</w:t>
      </w:r>
      <w:r>
        <w:rPr>
          <w:lang w:eastAsia="zh-CN"/>
        </w:rPr>
        <w:t>inciples as defined</w:t>
      </w:r>
      <w:r>
        <w:t xml:space="preserve"> in</w:t>
      </w:r>
      <w:r>
        <w:rPr>
          <w:lang w:eastAsia="zh-CN"/>
        </w:rPr>
        <w:t xml:space="preserve"> </w:t>
      </w:r>
      <w:r>
        <w:t>TS 3</w:t>
      </w:r>
      <w:r>
        <w:rPr>
          <w:rFonts w:eastAsia="宋体"/>
          <w:lang w:eastAsia="zh-CN"/>
        </w:rPr>
        <w:t>6</w:t>
      </w:r>
      <w:r>
        <w:t>.300 [</w:t>
      </w:r>
      <w:r>
        <w:rPr>
          <w:rFonts w:eastAsia="宋体"/>
          <w:lang w:eastAsia="zh-CN"/>
        </w:rPr>
        <w:t>2</w:t>
      </w:r>
      <w:r>
        <w:t>]</w:t>
      </w:r>
      <w:r>
        <w:rPr>
          <w:rFonts w:eastAsia="宋体"/>
          <w:lang w:eastAsia="zh-CN"/>
        </w:rPr>
        <w:t xml:space="preserve"> and </w:t>
      </w:r>
      <w:r>
        <w:t>TS 3</w:t>
      </w:r>
      <w:r>
        <w:rPr>
          <w:lang w:eastAsia="zh-CN"/>
        </w:rPr>
        <w:t>8</w:t>
      </w:r>
      <w:r>
        <w:t>.300 [</w:t>
      </w:r>
      <w:r>
        <w:rPr>
          <w:lang w:eastAsia="zh-CN"/>
        </w:rPr>
        <w:t>3</w:t>
      </w:r>
      <w:r>
        <w:t xml:space="preserve">] apply for </w:t>
      </w:r>
      <w:r>
        <w:rPr>
          <w:rFonts w:eastAsia="宋体"/>
          <w:lang w:eastAsia="zh-CN"/>
        </w:rPr>
        <w:t xml:space="preserve">the </w:t>
      </w:r>
      <w:r>
        <w:rPr>
          <w:lang w:eastAsia="zh-CN"/>
        </w:rPr>
        <w:t xml:space="preserve">Conditional PSCell Change in </w:t>
      </w:r>
      <w:r>
        <w:t>MR-DC</w:t>
      </w:r>
      <w:r>
        <w:rPr>
          <w:lang w:eastAsia="zh-CN"/>
        </w:rPr>
        <w:t>.</w:t>
      </w:r>
    </w:p>
    <w:p>
      <w:pPr>
        <w:rPr>
          <w:ins w:id="7" w:author="ZTE-ZMJ" w:date="2020-10-19T19:59:00Z"/>
          <w:lang w:eastAsia="zh-CN"/>
        </w:rPr>
      </w:pPr>
      <w:del w:id="8" w:author="ZTE" w:date="2020-10-19T21:37:00Z">
        <w:r>
          <w:rPr/>
          <w:delText xml:space="preserve">Simultaneous </w:delText>
        </w:r>
      </w:del>
      <w:ins w:id="9" w:author="ZTE" w:date="2020-10-19T21:37:00Z">
        <w:r>
          <w:rPr/>
          <w:t xml:space="preserve">Configuration of both </w:t>
        </w:r>
      </w:ins>
      <w:r>
        <w:t xml:space="preserve">CHO and CPC </w:t>
      </w:r>
      <w:del w:id="10" w:author="ZTE" w:date="2020-10-19T21:38:00Z">
        <w:r>
          <w:rPr/>
          <w:delText>operation</w:delText>
        </w:r>
      </w:del>
      <w:ins w:id="11" w:author="ZTE" w:date="2020-10-19T21:38:00Z">
        <w:r>
          <w:rPr/>
          <w:t>conditions</w:t>
        </w:r>
      </w:ins>
      <w:r>
        <w:t xml:space="preserve"> is not supported in this release</w:t>
      </w:r>
      <w:r>
        <w:rPr>
          <w:lang w:eastAsia="zh-CN"/>
        </w:rPr>
        <w:t>.</w:t>
      </w:r>
    </w:p>
    <w:p>
      <w:pPr>
        <w:rPr>
          <w:rFonts w:hint="eastAsia"/>
          <w:lang w:val="en-US" w:eastAsia="zh-CN"/>
        </w:rPr>
      </w:pPr>
      <w:ins w:id="12" w:author="ZTE" w:date="2020-10-23T09:30:08Z">
        <w:r>
          <w:rPr>
            <w:rFonts w:hint="eastAsia"/>
            <w:lang w:val="en-US" w:eastAsia="zh-CN"/>
          </w:rPr>
          <w:t>In case MR-DC is configured, CHO is only supported in Master Node to eNB/gNB Change procedure in this release.</w:t>
        </w:r>
      </w:ins>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NEXT CHANGE</w:t>
            </w:r>
          </w:p>
        </w:tc>
      </w:tr>
    </w:tbl>
    <w:p>
      <w:pPr>
        <w:rPr>
          <w:shd w:val="clear" w:color="auto" w:fill="FFFFFF"/>
          <w:lang w:eastAsia="en-US"/>
        </w:rPr>
      </w:pPr>
    </w:p>
    <w:bookmarkEnd w:id="20"/>
    <w:bookmarkEnd w:id="21"/>
    <w:bookmarkEnd w:id="22"/>
    <w:bookmarkEnd w:id="23"/>
    <w:p>
      <w:pPr>
        <w:pStyle w:val="3"/>
        <w:rPr>
          <w:lang w:eastAsia="zh-CN"/>
        </w:rPr>
      </w:pPr>
      <w:bookmarkStart w:id="24" w:name="_Toc29248360"/>
      <w:bookmarkStart w:id="25" w:name="_Toc37200947"/>
      <w:bookmarkStart w:id="26" w:name="_Toc52568339"/>
      <w:bookmarkStart w:id="27" w:name="_Toc46492813"/>
      <w:r>
        <w:t>10.3</w:t>
      </w:r>
      <w:r>
        <w:tab/>
      </w:r>
      <w:r>
        <w:rPr>
          <w:lang w:eastAsia="zh-CN"/>
        </w:rPr>
        <w:t xml:space="preserve">Secondary Node Modification </w:t>
      </w:r>
      <w:r>
        <w:t>(</w:t>
      </w:r>
      <w:r>
        <w:rPr>
          <w:lang w:eastAsia="zh-CN"/>
        </w:rPr>
        <w:t>MN/SN initiated)</w:t>
      </w:r>
      <w:bookmarkEnd w:id="24"/>
      <w:bookmarkEnd w:id="25"/>
      <w:bookmarkEnd w:id="26"/>
      <w:bookmarkEnd w:id="27"/>
    </w:p>
    <w:p>
      <w:pPr>
        <w:pStyle w:val="4"/>
      </w:pPr>
      <w:bookmarkStart w:id="28" w:name="_Toc52568340"/>
      <w:bookmarkStart w:id="29" w:name="_Toc37200948"/>
      <w:bookmarkStart w:id="30" w:name="_Toc29248361"/>
      <w:bookmarkStart w:id="31" w:name="_Toc46492814"/>
      <w:r>
        <w:t>10.3.1</w:t>
      </w:r>
      <w:r>
        <w:tab/>
      </w:r>
      <w:r>
        <w:t>EN-DC</w:t>
      </w:r>
      <w:bookmarkEnd w:id="28"/>
      <w:bookmarkEnd w:id="29"/>
      <w:bookmarkEnd w:id="30"/>
      <w:bookmarkEnd w:id="31"/>
    </w:p>
    <w:p>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p>
    <w:p>
      <w:r>
        <w:rPr>
          <w:lang w:eastAsia="zh-CN"/>
        </w:rPr>
        <w:t xml:space="preserve">The </w:t>
      </w:r>
      <w:r>
        <w:t>Secondary Node modification procedure does not necessarily need to involve signalling towards the UE.</w:t>
      </w:r>
    </w:p>
    <w:p>
      <w:r>
        <w:rPr>
          <w:b/>
        </w:rPr>
        <w:t>MN initiated SN Modification</w:t>
      </w:r>
    </w:p>
    <w:p>
      <w:pPr>
        <w:pStyle w:val="83"/>
      </w:pPr>
      <w:bookmarkStart w:id="32" w:name="_MON_1574063093"/>
      <w:bookmarkEnd w:id="32"/>
      <w:r>
        <w:pict>
          <v:shape id="_x0000_i1025" o:spt="75" type="#_x0000_t75" style="height:235.35pt;width:432pt;" filled="f" o:preferrelative="t" stroked="f" coordsize="21600,21600">
            <v:path/>
            <v:fill on="f" focussize="0,0"/>
            <v:stroke on="f" joinstyle="miter"/>
            <v:imagedata r:id="rId6" o:title=""/>
            <o:lock v:ext="edit" aspectratio="t"/>
            <w10:wrap type="none"/>
            <w10:anchorlock/>
          </v:shape>
        </w:pict>
      </w:r>
    </w:p>
    <w:p>
      <w:pPr>
        <w:pStyle w:val="91"/>
      </w:pPr>
      <w:r>
        <w:t>Figure 10.3.1-1: SN Modification procedure - MN initiated</w:t>
      </w:r>
    </w:p>
    <w:p>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pStyle w:val="79"/>
      </w:pPr>
      <w:r>
        <w:t>1.</w:t>
      </w:r>
      <w:r>
        <w:tab/>
      </w:r>
      <w:r>
        <w:t xml:space="preserve">The MN sends the </w:t>
      </w:r>
      <w:r>
        <w:rPr>
          <w:i/>
        </w:rPr>
        <w:t>SgNB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r>
        <w:rPr>
          <w:bCs/>
          <w:i/>
        </w:rPr>
        <w:t>SgNB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pStyle w:val="79"/>
      </w:pPr>
      <w:r>
        <w:t>2.</w:t>
      </w:r>
      <w:r>
        <w:tab/>
      </w:r>
      <w:r>
        <w:t xml:space="preserve">The SN responds with the </w:t>
      </w:r>
      <w:r>
        <w:rPr>
          <w:i/>
        </w:rPr>
        <w:t>SgNB Modification Request Acknowledge</w:t>
      </w:r>
      <w:r>
        <w:t xml:space="preserve"> message, which may contain SCG radio resource configuration information within a </w:t>
      </w:r>
      <w:r>
        <w:rPr>
          <w:lang w:eastAsia="zh-CN"/>
        </w:rPr>
        <w:t xml:space="preserve">NR RRC configuration </w:t>
      </w:r>
      <w: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pStyle w:val="79"/>
      </w:pPr>
      <w:r>
        <w:t>3-5.</w:t>
      </w:r>
      <w:r>
        <w:tab/>
      </w:r>
      <w:r>
        <w:t>The MN initiates the RRC connection reconfiguration procedure</w:t>
      </w:r>
      <w:r>
        <w:rPr>
          <w:lang w:eastAsia="zh-CN"/>
        </w:rPr>
        <w:t>, including the NR RRC configuration message</w:t>
      </w:r>
      <w:r>
        <w:t xml:space="preserve">. The UE applies the new configuration, synchronizes to the MN (if instructed, in case of intra-MN handover) and replies with </w:t>
      </w:r>
      <w:r>
        <w:rPr>
          <w:i/>
        </w:rPr>
        <w:t>RRCConnectionReconfigurationComplete</w:t>
      </w:r>
      <w:r>
        <w:t xml:space="preserve">, including a NR RRC response message, if needed. In case the UE is unable to comply with (part of) the configuration included in the </w:t>
      </w:r>
      <w:r>
        <w:rPr>
          <w:i/>
        </w:rPr>
        <w:t>RRCConnectionReconfiguration</w:t>
      </w:r>
      <w:r>
        <w:t xml:space="preserve"> message, it performs the reconfiguration failure procedure.</w:t>
      </w:r>
    </w:p>
    <w:p>
      <w:pPr>
        <w:pStyle w:val="79"/>
      </w:pPr>
      <w:r>
        <w:t>6.</w:t>
      </w:r>
      <w:r>
        <w:tab/>
      </w:r>
      <w:r>
        <w:t xml:space="preserve">Upon successful completion of the reconfiguration, the success of the procedure is indicated in the </w:t>
      </w:r>
      <w:r>
        <w:rPr>
          <w:i/>
        </w:rPr>
        <w:t>SgNB Reconfiguration Complete</w:t>
      </w:r>
      <w:r>
        <w:t xml:space="preserve"> message.</w:t>
      </w:r>
    </w:p>
    <w:p>
      <w:pPr>
        <w:pStyle w:val="79"/>
      </w:pPr>
      <w:r>
        <w:t>7.</w:t>
      </w:r>
      <w:r>
        <w:tab/>
      </w:r>
      <w:r>
        <w:t xml:space="preserve">If instructed, the UE performs synchronisation towards the </w:t>
      </w:r>
      <w:r>
        <w:rPr>
          <w:lang w:eastAsia="zh-CN"/>
        </w:rPr>
        <w:t>PSC</w:t>
      </w:r>
      <w:r>
        <w:t>ell of the SN as described in SgNB addition procedure. Otherwise, the UE may perform UL transmission after having applied the new configuration.</w:t>
      </w:r>
    </w:p>
    <w:p>
      <w:pPr>
        <w:pStyle w:val="79"/>
      </w:pPr>
      <w:r>
        <w:t>8.</w:t>
      </w:r>
      <w:r>
        <w:tab/>
      </w:r>
      <w:r>
        <w:t>If PDCP termination point is changed for bearers using RLC AM, and when RRC full configuration is not used, the SN Status Transfer takes place between the MN and the SN (Figure 10.3.1-1 depicts the case where a bearer context is transferred from the MN to the SN).</w:t>
      </w:r>
    </w:p>
    <w:p>
      <w:pPr>
        <w:pStyle w:val="64"/>
      </w:pPr>
      <w:r>
        <w:t>NOTE 0:</w:t>
      </w:r>
      <w:r>
        <w:tab/>
      </w:r>
      <w:r>
        <w:t>The SN may not be aware that a SN terminated bearer requested to be released is reconfigured to a MN terminated bearer. The SN Status for the released SN terminated bearers with RLC AM may also be transferred to the MN.</w:t>
      </w:r>
    </w:p>
    <w:p>
      <w:pPr>
        <w:pStyle w:val="79"/>
      </w:pPr>
      <w:r>
        <w:t>9.</w:t>
      </w:r>
      <w:r>
        <w:tab/>
      </w:r>
      <w:r>
        <w:t>If applicable, data forwarding between MN and the SN takes place (Figure 10.3.1-1 depicts the case where a bearer context is transferred from the MN to the SN).</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 xml:space="preserve">and received from </w:t>
      </w:r>
      <w:r>
        <w:rPr>
          <w:rFonts w:eastAsia="Helvetica 45 Light"/>
        </w:rPr>
        <w:t>the UE over the NR radio for the E-RABs to be released and for the E-RABs for which the S1 UL GTP Tunnel endpoint was requested to be modified.</w:t>
      </w:r>
    </w:p>
    <w:p>
      <w:pPr>
        <w:pStyle w:val="64"/>
        <w:rPr>
          <w:rFonts w:eastAsia="Helvetica 45 Light"/>
        </w:rPr>
      </w:pPr>
      <w:r>
        <w:rPr>
          <w:rFonts w:eastAsia="Helvetica 45 Light"/>
        </w:rPr>
        <w:t>NOTE 1:</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pPr>
        <w:pStyle w:val="79"/>
      </w:pPr>
      <w:r>
        <w:t>11.</w:t>
      </w:r>
      <w:r>
        <w:tab/>
      </w:r>
      <w:r>
        <w:t>If applicable, a path update is performed.</w:t>
      </w:r>
    </w:p>
    <w:p>
      <w:pPr>
        <w:rPr>
          <w:b/>
        </w:rPr>
      </w:pPr>
      <w:r>
        <w:rPr>
          <w:b/>
        </w:rPr>
        <w:t>SN initiated SN Modification with MN involvement</w:t>
      </w:r>
    </w:p>
    <w:p>
      <w:pPr>
        <w:pStyle w:val="83"/>
      </w:pPr>
      <w:r>
        <w:pict>
          <v:shape id="_x0000_i1026" o:spt="75" type="#_x0000_t75" style="height:303.6pt;width:432pt;" filled="f" o:preferrelative="t" stroked="f" coordsize="21600,21600">
            <v:path/>
            <v:fill on="f" focussize="0,0"/>
            <v:stroke on="f" joinstyle="miter"/>
            <v:imagedata r:id="rId7" o:title=""/>
            <o:lock v:ext="edit" aspectratio="t"/>
            <w10:wrap type="none"/>
            <w10:anchorlock/>
          </v:shape>
        </w:pict>
      </w:r>
    </w:p>
    <w:p>
      <w:pPr>
        <w:pStyle w:val="91"/>
      </w:pPr>
      <w:r>
        <w:t>Figure 10.3.1-2: SN Modification procedure - SN initiated with MN involvement</w:t>
      </w:r>
    </w:p>
    <w:p>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Figure 10.3.1-2 shows an example signalling flow for an SN initiated SgNB Modification procedure, with MN involvement.</w:t>
      </w:r>
    </w:p>
    <w:p>
      <w:pPr>
        <w:pStyle w:val="79"/>
      </w:pPr>
      <w:r>
        <w:t>1.</w:t>
      </w:r>
      <w:r>
        <w:tab/>
      </w:r>
      <w:r>
        <w:t xml:space="preserve">The SN sends the </w:t>
      </w:r>
      <w:r>
        <w:rPr>
          <w:i/>
        </w:rPr>
        <w:t>SgNB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r>
        <w:rPr>
          <w:i/>
        </w:rPr>
        <w:t>SgNB Modification Required</w:t>
      </w:r>
      <w:r>
        <w:t xml:space="preserve"> message. In case of change of security key, the </w:t>
      </w:r>
      <w:r>
        <w:rPr>
          <w:i/>
        </w:rPr>
        <w:t>PDCP Change</w:t>
      </w:r>
      <w:r>
        <w:t xml:space="preserve"> </w:t>
      </w:r>
      <w:r>
        <w:rPr>
          <w:i/>
        </w:rPr>
        <w:t>Indication</w:t>
      </w:r>
      <w:r>
        <w:t xml:space="preserve"> indicates that a S-K</w:t>
      </w:r>
      <w:r>
        <w:rPr>
          <w:vertAlign w:val="subscript"/>
        </w:rPr>
        <w:t>gNB</w:t>
      </w:r>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pPr>
        <w:pStyle w:val="79"/>
        <w:ind w:firstLine="0"/>
      </w:pPr>
      <w:r>
        <w:t>The SN can decide whether the change of security key is required.</w:t>
      </w:r>
    </w:p>
    <w:p>
      <w:pPr>
        <w:pStyle w:val="79"/>
      </w:pPr>
      <w:r>
        <w:t>2/3.</w:t>
      </w:r>
      <w:r>
        <w:tab/>
      </w:r>
      <w:r>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pPr>
        <w:pStyle w:val="64"/>
      </w:pPr>
      <w:r>
        <w:t>NOTE 2:</w:t>
      </w:r>
      <w:r>
        <w:tab/>
      </w:r>
      <w:r>
        <w:t>If only SN security key</w:t>
      </w:r>
      <w:r>
        <w:rPr>
          <w:lang w:eastAsia="zh-CN"/>
        </w:rPr>
        <w:t xml:space="preserve"> is</w:t>
      </w:r>
      <w:r>
        <w:t xml:space="preserve"> provided in step 2, the MN does not need to wait for the reception of step 3 to initiate the RRC connection reconfiguration procedure.</w:t>
      </w:r>
    </w:p>
    <w:p>
      <w:pPr>
        <w:pStyle w:val="79"/>
      </w:pPr>
      <w:r>
        <w:t>4.</w:t>
      </w:r>
      <w:r>
        <w:tab/>
      </w:r>
      <w:r>
        <w:t xml:space="preserve">The MN sends the </w:t>
      </w:r>
      <w:r>
        <w:rPr>
          <w:i/>
        </w:rPr>
        <w:t>RRCConnectionReconfiguration</w:t>
      </w:r>
      <w:r>
        <w:t xml:space="preserve"> message </w:t>
      </w:r>
      <w:r>
        <w:rPr>
          <w:lang w:eastAsia="zh-CN"/>
        </w:rPr>
        <w:t>including a NR RRC configuration message</w:t>
      </w:r>
      <w:r>
        <w:rPr>
          <w:i/>
          <w:lang w:eastAsia="zh-CN"/>
        </w:rPr>
        <w:t xml:space="preserve"> </w:t>
      </w:r>
      <w:r>
        <w:t>to the UE including the new SCG radio resource configuration.</w:t>
      </w:r>
    </w:p>
    <w:p>
      <w:pPr>
        <w:pStyle w:val="79"/>
      </w:pPr>
      <w:r>
        <w:t>5.</w:t>
      </w:r>
      <w:r>
        <w:tab/>
      </w:r>
      <w:r>
        <w:t xml:space="preserve">The UE applies the new configuration and sends the </w:t>
      </w:r>
      <w:r>
        <w:rPr>
          <w:i/>
        </w:rPr>
        <w:t>RRCConnectionReconfigurationComplete</w:t>
      </w:r>
      <w:r>
        <w:t xml:space="preserve"> message, including</w:t>
      </w:r>
      <w:r>
        <w:rPr>
          <w:lang w:eastAsia="zh-CN"/>
        </w:rPr>
        <w:t xml:space="preserve"> an encoded NR RRC response message, if needed</w:t>
      </w:r>
      <w:r>
        <w:t xml:space="preserve">. In case the UE is unable to comply with (part of) the configuration included in the </w:t>
      </w:r>
      <w:r>
        <w:rPr>
          <w:i/>
        </w:rPr>
        <w:t>RRCConnectionReconfiguration</w:t>
      </w:r>
      <w:r>
        <w:t xml:space="preserve"> message, it performs the reconfiguration failure procedure.</w:t>
      </w:r>
    </w:p>
    <w:p>
      <w:pPr>
        <w:pStyle w:val="79"/>
      </w:pPr>
      <w:r>
        <w:t>6.</w:t>
      </w:r>
      <w:r>
        <w:tab/>
      </w:r>
      <w:r>
        <w:t xml:space="preserve">Upon successful completion of the reconfiguration, the success of the procedure is indicated in the </w:t>
      </w:r>
      <w:r>
        <w:rPr>
          <w:i/>
        </w:rPr>
        <w:t>SgNB Modification Confirm</w:t>
      </w:r>
      <w:r>
        <w:t xml:space="preserve"> message </w:t>
      </w:r>
      <w:r>
        <w:rPr>
          <w:lang w:eastAsia="zh-CN"/>
        </w:rPr>
        <w:t>containing</w:t>
      </w:r>
      <w:r>
        <w:t xml:space="preserve"> the encoded</w:t>
      </w:r>
      <w:r>
        <w:rPr>
          <w:lang w:eastAsia="zh-CN"/>
        </w:rPr>
        <w:t xml:space="preserve"> NR RRC response message, if received from the UE</w:t>
      </w:r>
      <w:r>
        <w:t>.</w:t>
      </w:r>
    </w:p>
    <w:p>
      <w:pPr>
        <w:pStyle w:val="79"/>
      </w:pPr>
      <w:r>
        <w:t>7.</w:t>
      </w:r>
      <w: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p>
    <w:p>
      <w:pPr>
        <w:pStyle w:val="79"/>
      </w:pPr>
      <w:r>
        <w:t>8.</w:t>
      </w:r>
      <w:r>
        <w:tab/>
      </w:r>
      <w:r>
        <w:t>If PDCP termination point is changed for bearers using RLC AM, and when RRC full configuration is not used, the SN Status Transfer takes place between the MN and the SN (Figure 10.3.1-2 depicts the case where a bearer context is transferred from the SN to the MN).</w:t>
      </w:r>
    </w:p>
    <w:p>
      <w:pPr>
        <w:pStyle w:val="64"/>
        <w:rPr>
          <w:kern w:val="2"/>
        </w:rPr>
      </w:pPr>
      <w:r>
        <w:rPr>
          <w:rFonts w:eastAsia="Helvetica 45 Light"/>
        </w:rPr>
        <w:t>NOTE 2a:</w:t>
      </w:r>
      <w:r>
        <w:rPr>
          <w:rFonts w:eastAsia="Helvetica 45 Light"/>
        </w:rPr>
        <w:tab/>
      </w:r>
      <w:r>
        <w:rPr>
          <w:rFonts w:eastAsia="Helvetica 45 Light"/>
        </w:rPr>
        <w:t>The SN may not be aware that a SN terminated bearer requesting to release is reconfigured to a MN terminated bearer. The SN Status for the released SN terminated bearers with RLC AM may also be transferred to the MN</w:t>
      </w:r>
      <w:r>
        <w:t>.</w:t>
      </w:r>
    </w:p>
    <w:p>
      <w:pPr>
        <w:pStyle w:val="79"/>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pPr>
        <w:pStyle w:val="64"/>
        <w:rPr>
          <w:rFonts w:eastAsia="Helvetica 45 Light"/>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pPr>
        <w:pStyle w:val="79"/>
      </w:pPr>
      <w:r>
        <w:t>11.</w:t>
      </w:r>
      <w:r>
        <w:tab/>
      </w:r>
      <w:r>
        <w:t>If applicable, a path update is performed.</w:t>
      </w:r>
    </w:p>
    <w:p>
      <w:pPr>
        <w:rPr>
          <w:lang w:eastAsia="zh-CN"/>
        </w:rPr>
      </w:pPr>
      <w:r>
        <w:rPr>
          <w:b/>
        </w:rPr>
        <w:t>S</w:t>
      </w:r>
      <w:r>
        <w:rPr>
          <w:b/>
          <w:lang w:eastAsia="zh-CN"/>
        </w:rPr>
        <w:t>N</w:t>
      </w:r>
      <w:r>
        <w:rPr>
          <w:b/>
        </w:rPr>
        <w:t xml:space="preserve"> initiated SN Modification without MN involvement</w:t>
      </w:r>
    </w:p>
    <w:p>
      <w:pPr>
        <w:pStyle w:val="83"/>
        <w:rPr>
          <w:lang w:eastAsia="zh-CN"/>
        </w:rPr>
      </w:pPr>
      <w:r>
        <w:pict>
          <v:shape id="_x0000_i1027" o:spt="75" type="#_x0000_t75" style="height:143.45pt;width:371.3pt;" filled="f" o:preferrelative="t" stroked="f" coordsize="21600,21600">
            <v:path/>
            <v:fill on="f" focussize="0,0"/>
            <v:stroke on="f" joinstyle="miter"/>
            <v:imagedata r:id="rId8" o:title=""/>
            <o:lock v:ext="edit" aspectratio="t"/>
            <w10:wrap type="none"/>
            <w10:anchorlock/>
          </v:shape>
        </w:pict>
      </w:r>
    </w:p>
    <w:p>
      <w:pPr>
        <w:pStyle w:val="91"/>
        <w:rPr>
          <w:lang w:eastAsia="zh-CN"/>
        </w:rPr>
      </w:pPr>
      <w:r>
        <w:rPr>
          <w:lang w:eastAsia="zh-CN"/>
        </w:rPr>
        <w:t>Figure 10.3.1-3: SN modification - SN initiated without MN involvement</w:t>
      </w:r>
    </w:p>
    <w:p>
      <w:pPr>
        <w:spacing w:after="120"/>
        <w:jc w:val="both"/>
      </w:pPr>
      <w:r>
        <w:t>The S</w:t>
      </w:r>
      <w:r>
        <w:rPr>
          <w:lang w:eastAsia="zh-CN"/>
        </w:rPr>
        <w:t>N</w:t>
      </w:r>
      <w: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3.1</w:t>
      </w:r>
      <w:r>
        <w:t>-</w:t>
      </w:r>
      <w:r>
        <w:rPr>
          <w:lang w:eastAsia="zh-CN"/>
        </w:rPr>
        <w:t xml:space="preserve">3 </w:t>
      </w:r>
      <w:r>
        <w:t>shows an example signalling flow for SN initiated SN modification procedure, without MN involvement. The SN can decide whether the Random Access procedure is required.</w:t>
      </w:r>
    </w:p>
    <w:p>
      <w:pPr>
        <w:pStyle w:val="79"/>
      </w:pPr>
      <w:r>
        <w:t>1.</w:t>
      </w:r>
      <w:r>
        <w:tab/>
      </w:r>
      <w:r>
        <w:t xml:space="preserve">The SN sends the </w:t>
      </w:r>
      <w:r>
        <w:rPr>
          <w:i/>
        </w:rPr>
        <w:t>RRCReconfiguration</w:t>
      </w:r>
      <w:r>
        <w:t xml:space="preserve"> message to the UE through SRB3. The UE applies the new configuration. In case the UE is unable to comply with (part of) the configuration included in the </w:t>
      </w:r>
      <w:r>
        <w:rPr>
          <w:i/>
        </w:rPr>
        <w:t>RRCReconfiguration</w:t>
      </w:r>
      <w:r>
        <w:t xml:space="preserve"> message, it performs the reconfiguration failure procedure.</w:t>
      </w:r>
    </w:p>
    <w:p>
      <w:pPr>
        <w:pStyle w:val="79"/>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pStyle w:val="79"/>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pStyle w:val="79"/>
        <w:rPr>
          <w:rFonts w:eastAsia="宋体"/>
          <w:lang w:eastAsia="zh-CN"/>
        </w:rPr>
      </w:pPr>
      <w:r>
        <w:rPr>
          <w:lang w:eastAsia="zh-CN"/>
        </w:rPr>
        <w:t>3a.</w:t>
      </w:r>
      <w:r>
        <w:rPr>
          <w:lang w:eastAsia="zh-CN"/>
        </w:rPr>
        <w:tab/>
      </w:r>
      <w:r>
        <w:t xml:space="preserve">In case of CPC, </w:t>
      </w:r>
      <w:r>
        <w:rPr>
          <w:lang w:eastAsia="zh-CN"/>
        </w:rPr>
        <w:t xml:space="preserve">the </w:t>
      </w:r>
      <w:r>
        <w:t xml:space="preserve">UE maintains connection with source </w:t>
      </w:r>
      <w:r>
        <w:rPr>
          <w:lang w:eastAsia="zh-CN"/>
        </w:rPr>
        <w:t>PSCell</w:t>
      </w:r>
      <w:r>
        <w:t xml:space="preserve"> after receiving C</w:t>
      </w:r>
      <w:r>
        <w:rPr>
          <w:lang w:eastAsia="zh-CN"/>
        </w:rPr>
        <w:t>PC</w:t>
      </w:r>
      <w:r>
        <w:t xml:space="preserve"> configuration, and starts evaluating the C</w:t>
      </w:r>
      <w:r>
        <w:rPr>
          <w:lang w:eastAsia="zh-CN"/>
        </w:rPr>
        <w:t>PC</w:t>
      </w:r>
      <w:r>
        <w:t xml:space="preserve"> execution conditions for</w:t>
      </w:r>
      <w:r>
        <w:rPr>
          <w:lang w:eastAsia="zh-CN"/>
        </w:rPr>
        <w:t xml:space="preserve"> </w:t>
      </w:r>
      <w:r>
        <w:t xml:space="preserve">candidate </w:t>
      </w:r>
      <w:r>
        <w:rPr>
          <w:lang w:eastAsia="zh-CN"/>
        </w:rPr>
        <w:t>PSC</w:t>
      </w:r>
      <w:r>
        <w:t>ell(s). 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corresponding configuration for the selected candidate </w:t>
      </w:r>
      <w:r>
        <w:rPr>
          <w:lang w:eastAsia="zh-CN"/>
        </w:rPr>
        <w:t>PSC</w:t>
      </w:r>
      <w:r>
        <w:t xml:space="preserve">ell and synchronises to that candidate </w:t>
      </w:r>
      <w:r>
        <w:rPr>
          <w:lang w:eastAsia="zh-CN"/>
        </w:rPr>
        <w:t>PSC</w:t>
      </w:r>
      <w:r>
        <w:t xml:space="preserve">ell. The UE completes the </w:t>
      </w:r>
      <w:r>
        <w:rPr>
          <w:lang w:eastAsia="zh-CN"/>
        </w:rPr>
        <w:t xml:space="preserve">CPC execution </w:t>
      </w:r>
      <w:r>
        <w:t xml:space="preserve">procedure by sending </w:t>
      </w:r>
      <w:r>
        <w:rPr>
          <w:lang w:eastAsia="zh-CN"/>
        </w:rPr>
        <w:t xml:space="preserve">an </w:t>
      </w:r>
      <w:r>
        <w:rPr>
          <w:rFonts w:eastAsia="PMingLiU"/>
          <w:i/>
          <w:lang w:eastAsia="zh-TW"/>
        </w:rPr>
        <w:t>RRCReconfigurationComplete</w:t>
      </w:r>
      <w:r>
        <w:rPr>
          <w:lang w:eastAsia="zh-CN"/>
        </w:rPr>
        <w:t xml:space="preserve"> </w:t>
      </w:r>
      <w:r>
        <w:t xml:space="preserve">message to the </w:t>
      </w:r>
      <w:r>
        <w:rPr>
          <w:lang w:eastAsia="zh-CN"/>
        </w:rPr>
        <w:t>new PSCell.</w:t>
      </w:r>
    </w:p>
    <w:p>
      <w:pPr>
        <w:rPr>
          <w:lang w:eastAsia="zh-CN"/>
        </w:rPr>
      </w:pPr>
      <w:r>
        <w:rPr>
          <w:b/>
        </w:rPr>
        <w:t>Transfer of an NR RRC message to/from the UE (when SRB3 is not used)</w:t>
      </w:r>
    </w:p>
    <w:p>
      <w:pPr>
        <w:pStyle w:val="83"/>
        <w:rPr>
          <w:lang w:eastAsia="zh-CN"/>
        </w:rPr>
      </w:pPr>
      <w:r>
        <w:pict>
          <v:shape id="_x0000_i1028" o:spt="75" type="#_x0000_t75" style="height:121.45pt;width:384.7pt;" filled="f" o:preferrelative="t" stroked="f" coordsize="21600,21600">
            <v:path/>
            <v:fill on="f" focussize="0,0"/>
            <v:stroke on="f" joinstyle="miter"/>
            <v:imagedata r:id="rId9" o:title=""/>
            <o:lock v:ext="edit" aspectratio="t"/>
            <w10:wrap type="none"/>
            <w10:anchorlock/>
          </v:shape>
        </w:pict>
      </w:r>
    </w:p>
    <w:p>
      <w:pPr>
        <w:pStyle w:val="91"/>
        <w:rPr>
          <w:lang w:eastAsia="zh-CN"/>
        </w:rPr>
      </w:pPr>
      <w:r>
        <w:rPr>
          <w:lang w:eastAsia="zh-CN"/>
        </w:rPr>
        <w:t>Figure 10.3.1-4: Transfer of an NR RRC message to/from the UE</w:t>
      </w:r>
    </w:p>
    <w:p>
      <w:pPr>
        <w:spacing w:after="120"/>
        <w:jc w:val="both"/>
      </w:pPr>
      <w:r>
        <w:t>The S</w:t>
      </w:r>
      <w:r>
        <w:rPr>
          <w:lang w:eastAsia="zh-CN"/>
        </w:rPr>
        <w:t>N</w:t>
      </w:r>
      <w:r>
        <w:t xml:space="preserve"> initiates the procedure when it needs to transfer an NR RRC message to the UE and SRB3 is not used.</w:t>
      </w:r>
    </w:p>
    <w:p>
      <w:pPr>
        <w:pStyle w:val="79"/>
      </w:pPr>
      <w:r>
        <w:t>1.</w:t>
      </w:r>
      <w:r>
        <w:tab/>
      </w:r>
      <w:r>
        <w:t>The SN initiates the procedure by sending the SgNB Modification Required to the MN.</w:t>
      </w:r>
    </w:p>
    <w:p>
      <w:pPr>
        <w:pStyle w:val="79"/>
      </w:pPr>
      <w:r>
        <w:t>2.</w:t>
      </w:r>
      <w:r>
        <w:tab/>
      </w:r>
      <w:r>
        <w:t xml:space="preserve">The MN forwards the NR RRC message to the UE in the </w:t>
      </w:r>
      <w:r>
        <w:rPr>
          <w:i/>
        </w:rPr>
        <w:t xml:space="preserve">RRCConnectionReconfiguration </w:t>
      </w:r>
      <w:r>
        <w:t>message.</w:t>
      </w:r>
    </w:p>
    <w:p>
      <w:pPr>
        <w:pStyle w:val="79"/>
      </w:pPr>
      <w:r>
        <w:t>3.</w:t>
      </w:r>
      <w:r>
        <w:tab/>
      </w:r>
      <w:r>
        <w:t xml:space="preserve">The UE applies the new configuration and replies with the </w:t>
      </w:r>
      <w:r>
        <w:rPr>
          <w:i/>
        </w:rPr>
        <w:t>RRCConnectionReconfigurationComplete</w:t>
      </w:r>
      <w:r>
        <w:t xml:space="preserve"> message.</w:t>
      </w:r>
    </w:p>
    <w:p>
      <w:pPr>
        <w:pStyle w:val="79"/>
        <w:rPr>
          <w:rFonts w:eastAsia="宋体"/>
          <w:iCs/>
          <w:lang w:eastAsia="zh-CN"/>
        </w:rPr>
      </w:pPr>
      <w:r>
        <w:rPr>
          <w:lang w:eastAsia="zh-CN"/>
        </w:rPr>
        <w:t>3a.</w:t>
      </w:r>
      <w:r>
        <w:rPr>
          <w:lang w:eastAsia="zh-CN"/>
        </w:rPr>
        <w:tab/>
      </w:r>
      <w:r>
        <w:rPr>
          <w:lang w:eastAsia="zh-CN"/>
        </w:rPr>
        <w:t xml:space="preserve">If CPC is configured in the </w:t>
      </w:r>
      <w:r>
        <w:rPr>
          <w:i/>
        </w:rPr>
        <w:t>RRCConnectionReconfiguration</w:t>
      </w:r>
      <w:r>
        <w:rPr>
          <w:i/>
          <w:lang w:eastAsia="zh-CN"/>
        </w:rPr>
        <w:t>,</w:t>
      </w:r>
      <w:r>
        <w:t xml:space="preserve"> </w:t>
      </w:r>
      <w:r>
        <w:rPr>
          <w:lang w:eastAsia="zh-CN"/>
        </w:rPr>
        <w:t xml:space="preserve">the </w:t>
      </w:r>
      <w:r>
        <w:t xml:space="preserve">UE maintains the connection with </w:t>
      </w:r>
      <w:ins w:id="13" w:author="ZTE" w:date="2020-10-23T09:29:11Z">
        <w:r>
          <w:rPr>
            <w:rFonts w:hint="eastAsia" w:eastAsia="宋体"/>
            <w:lang w:val="en-US" w:eastAsia="zh-CN"/>
          </w:rPr>
          <w:t>t</w:t>
        </w:r>
      </w:ins>
      <w:ins w:id="14" w:author="ZTE" w:date="2020-10-23T09:29:12Z">
        <w:r>
          <w:rPr>
            <w:rFonts w:hint="eastAsia" w:eastAsia="宋体"/>
            <w:lang w:val="en-US" w:eastAsia="zh-CN"/>
          </w:rPr>
          <w:t>he</w:t>
        </w:r>
      </w:ins>
      <w:ins w:id="15" w:author="ZTE" w:date="2020-10-23T09:29:14Z">
        <w:r>
          <w:rPr>
            <w:rFonts w:hint="eastAsia" w:eastAsia="宋体"/>
            <w:lang w:val="en-US" w:eastAsia="zh-CN"/>
          </w:rPr>
          <w:t xml:space="preserve"> </w:t>
        </w:r>
      </w:ins>
      <w:r>
        <w:t xml:space="preserve">source </w:t>
      </w:r>
      <w:r>
        <w:rPr>
          <w:lang w:eastAsia="zh-CN"/>
        </w:rPr>
        <w:t>PSCell</w:t>
      </w:r>
      <w:r>
        <w:t xml:space="preserve"> after receiving</w:t>
      </w:r>
      <w:r>
        <w:rPr>
          <w:lang w:eastAsia="zh-CN"/>
        </w:rPr>
        <w:t xml:space="preserve"> the </w:t>
      </w:r>
      <w:r>
        <w:t>C</w:t>
      </w:r>
      <w:r>
        <w:rPr>
          <w:lang w:eastAsia="zh-CN"/>
        </w:rPr>
        <w:t>PC</w:t>
      </w:r>
      <w:r>
        <w:t xml:space="preserve"> configuration, and starts evaluating the C</w:t>
      </w:r>
      <w:r>
        <w:rPr>
          <w:lang w:eastAsia="zh-CN"/>
        </w:rPr>
        <w:t>PC</w:t>
      </w:r>
      <w:r>
        <w:t xml:space="preserve"> execution conditions for </w:t>
      </w:r>
      <w:ins w:id="16" w:author="ZTE" w:date="2020-10-23T09:29:17Z">
        <w:r>
          <w:rPr>
            <w:rFonts w:hint="eastAsia" w:eastAsia="宋体"/>
            <w:lang w:val="en-US" w:eastAsia="zh-CN"/>
          </w:rPr>
          <w:t>the</w:t>
        </w:r>
      </w:ins>
      <w:ins w:id="17" w:author="ZTE" w:date="2020-10-23T09:29:39Z">
        <w:r>
          <w:rPr>
            <w:rFonts w:hint="eastAsia" w:eastAsia="宋体"/>
            <w:lang w:val="en-US" w:eastAsia="zh-CN"/>
          </w:rPr>
          <w:t xml:space="preserve"> </w:t>
        </w:r>
      </w:ins>
      <w:r>
        <w:t xml:space="preserve">candidate </w:t>
      </w:r>
      <w:r>
        <w:rPr>
          <w:lang w:eastAsia="zh-CN"/>
        </w:rPr>
        <w:t>PSC</w:t>
      </w:r>
      <w:r>
        <w:t>ell(s). 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corresponding configuration for the selected candidate </w:t>
      </w:r>
      <w:r>
        <w:rPr>
          <w:lang w:eastAsia="zh-CN"/>
        </w:rPr>
        <w:t>PSC</w:t>
      </w:r>
      <w:r>
        <w:t xml:space="preserve">ell and synchronises to that candidate PSCell. The UE completes the CPC execution procedure by sending </w:t>
      </w:r>
      <w:r>
        <w:rPr>
          <w:lang w:eastAsia="zh-CN"/>
        </w:rPr>
        <w:t xml:space="preserve">an </w:t>
      </w:r>
      <w:r>
        <w:rPr>
          <w:i/>
        </w:rPr>
        <w:t xml:space="preserve">ULInformationTransferMRDC </w:t>
      </w:r>
      <w:r>
        <w:t xml:space="preserve">message to the MN </w:t>
      </w:r>
      <w:r>
        <w:rPr>
          <w:lang w:eastAsia="zh-CN"/>
        </w:rPr>
        <w:t xml:space="preserve">which includes an embedded </w:t>
      </w:r>
      <w:r>
        <w:rPr>
          <w:rFonts w:eastAsia="PMingLiU"/>
          <w:i/>
          <w:lang w:eastAsia="zh-TW"/>
        </w:rPr>
        <w:t>RRCReconfigurationComplete</w:t>
      </w:r>
      <w:r>
        <w:rPr>
          <w:lang w:eastAsia="zh-CN"/>
        </w:rPr>
        <w:t xml:space="preserve"> </w:t>
      </w:r>
      <w:r>
        <w:t xml:space="preserve">message to the </w:t>
      </w:r>
      <w:r>
        <w:rPr>
          <w:lang w:eastAsia="zh-CN"/>
        </w:rPr>
        <w:t>new PSCell.</w:t>
      </w:r>
    </w:p>
    <w:p>
      <w:pPr>
        <w:pStyle w:val="79"/>
      </w:pPr>
      <w:r>
        <w:t>4.</w:t>
      </w:r>
      <w:r>
        <w:tab/>
      </w:r>
      <w:r>
        <w:t xml:space="preserve">The MN forwards the NR RRC response message, if received from the UE, to the SN in the </w:t>
      </w:r>
      <w:r>
        <w:rPr>
          <w:i/>
        </w:rPr>
        <w:t xml:space="preserve">SgNB Modification Confirm </w:t>
      </w:r>
      <w:r>
        <w:t>message.</w:t>
      </w:r>
    </w:p>
    <w:p>
      <w:pPr>
        <w:pStyle w:val="79"/>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t>SgNB Addition procedure</w:t>
      </w:r>
      <w:r>
        <w:rPr>
          <w:rFonts w:eastAsia="PMingLiU"/>
          <w:lang w:eastAsia="zh-TW"/>
        </w:rPr>
        <w:t>. Otherwise the UE may perform UL transmission after having applied the new configuration.</w:t>
      </w:r>
    </w:p>
    <w:p>
      <w:pPr>
        <w:pStyle w:val="4"/>
        <w:rPr>
          <w:lang w:eastAsia="zh-CN"/>
        </w:rPr>
      </w:pPr>
      <w:bookmarkStart w:id="33" w:name="_Toc37200949"/>
      <w:bookmarkStart w:id="34" w:name="_Toc46492815"/>
      <w:bookmarkStart w:id="35" w:name="_Toc29248362"/>
      <w:bookmarkStart w:id="36" w:name="_Toc52568341"/>
      <w:r>
        <w:rPr>
          <w:lang w:eastAsia="zh-CN"/>
        </w:rPr>
        <w:t>10.3.2</w:t>
      </w:r>
      <w:r>
        <w:rPr>
          <w:lang w:eastAsia="zh-CN"/>
        </w:rPr>
        <w:tab/>
      </w:r>
      <w:r>
        <w:rPr>
          <w:lang w:eastAsia="zh-CN"/>
        </w:rPr>
        <w:t>MR-DC with 5GC</w:t>
      </w:r>
      <w:bookmarkEnd w:id="33"/>
      <w:bookmarkEnd w:id="34"/>
      <w:bookmarkEnd w:id="35"/>
      <w:bookmarkEnd w:id="36"/>
    </w:p>
    <w:p>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PSCell in NE-DC.</w:t>
      </w:r>
    </w:p>
    <w:p>
      <w:r>
        <w:t>The S</w:t>
      </w:r>
      <w:r>
        <w:rPr>
          <w:lang w:eastAsia="zh-CN"/>
        </w:rPr>
        <w:t>N</w:t>
      </w:r>
      <w:r>
        <w:t xml:space="preserve"> modification procedure does not necessarily need to involve signalling towards the UE.</w:t>
      </w:r>
    </w:p>
    <w:p>
      <w:r>
        <w:rPr>
          <w:b/>
        </w:rPr>
        <w:t>M</w:t>
      </w:r>
      <w:r>
        <w:rPr>
          <w:b/>
          <w:lang w:eastAsia="zh-CN"/>
        </w:rPr>
        <w:t>N</w:t>
      </w:r>
      <w:r>
        <w:rPr>
          <w:b/>
        </w:rPr>
        <w:t xml:space="preserve"> initiated S</w:t>
      </w:r>
      <w:r>
        <w:rPr>
          <w:b/>
          <w:lang w:eastAsia="zh-CN"/>
        </w:rPr>
        <w:t>N</w:t>
      </w:r>
      <w:r>
        <w:rPr>
          <w:b/>
        </w:rPr>
        <w:t xml:space="preserve"> Modification</w:t>
      </w:r>
    </w:p>
    <w:p>
      <w:pPr>
        <w:pStyle w:val="83"/>
        <w:rPr>
          <w:lang w:eastAsia="zh-CN"/>
        </w:rPr>
      </w:pPr>
      <w:r>
        <w:pict>
          <v:shape id="_x0000_i1029" o:spt="75" type="#_x0000_t75" style="height:236.95pt;width:434.15pt;" filled="f" o:preferrelative="t" stroked="f" coordsize="21600,21600">
            <v:path/>
            <v:fill on="f" focussize="0,0"/>
            <v:stroke on="f" joinstyle="miter"/>
            <v:imagedata r:id="rId10" o:title=""/>
            <o:lock v:ext="edit" aspectratio="t"/>
            <w10:wrap type="none"/>
            <w10:anchorlock/>
          </v:shape>
        </w:pict>
      </w:r>
    </w:p>
    <w:p>
      <w:pPr>
        <w:pStyle w:val="91"/>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pPr>
        <w:pStyle w:val="79"/>
      </w:pPr>
      <w:r>
        <w:t>1.</w:t>
      </w:r>
      <w:r>
        <w:tab/>
      </w:r>
      <w:r>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p>
    <w:p>
      <w:pPr>
        <w:pStyle w:val="79"/>
      </w:pPr>
      <w:r>
        <w:t>2.</w:t>
      </w:r>
      <w:r>
        <w:tab/>
      </w:r>
      <w:r>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pPr>
        <w:pStyle w:val="64"/>
      </w:pPr>
      <w:r>
        <w:t>NOTE 1:</w:t>
      </w:r>
      <w:r>
        <w:tab/>
      </w:r>
      <w:r>
        <w:t>For MN terminated bearers to be setup for which PDCP duplication with CA is configured in NR SCG side, the MN allocates up to 4 separate Xn-U bearers and the SN provides a logical channel ID for primary or split secondary path to the MN.</w:t>
      </w:r>
    </w:p>
    <w:p>
      <w:pPr>
        <w:pStyle w:val="64"/>
        <w:rPr>
          <w:i/>
          <w:iCs/>
        </w:rPr>
      </w:pPr>
      <w:r>
        <w:tab/>
      </w:r>
      <w: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pStyle w:val="79"/>
      </w:pPr>
      <w:r>
        <w:t>2a.</w:t>
      </w:r>
      <w:r>
        <w:tab/>
      </w:r>
      <w:r>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pPr>
        <w:pStyle w:val="79"/>
      </w:pPr>
      <w:r>
        <w:t>3/4.</w:t>
      </w:r>
      <w:r>
        <w:tab/>
      </w:r>
      <w:r>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pPr>
        <w:pStyle w:val="79"/>
        <w:rPr>
          <w:lang w:eastAsia="zh-CN"/>
        </w:rPr>
      </w:pPr>
      <w:r>
        <w:t>5.</w:t>
      </w:r>
      <w:r>
        <w:tab/>
      </w:r>
      <w:r>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pPr>
        <w:pStyle w:val="79"/>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pPr>
        <w:pStyle w:val="79"/>
      </w:pPr>
      <w:r>
        <w:t>7.</w:t>
      </w:r>
      <w:r>
        <w:tab/>
      </w:r>
      <w:r>
        <w:t>If PDCP termination point is changed for bearers using RLC AM, and when RRC full configuration is not used, the SN Status Transfer takes place between the MN and the SN (Figure 10.3.2-1 depicts the case where a bearer context is transferred from the MN to the SN).</w:t>
      </w:r>
    </w:p>
    <w:p>
      <w:pPr>
        <w:pStyle w:val="79"/>
      </w:pPr>
      <w:r>
        <w:t>8.</w:t>
      </w:r>
      <w:r>
        <w:tab/>
      </w:r>
      <w:r>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pPr>
        <w:pStyle w:val="79"/>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4"/>
        <w:rPr>
          <w:rFonts w:eastAsia="Helvetica 45 Light"/>
        </w:rPr>
      </w:pPr>
      <w: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pStyle w:val="79"/>
      </w:pPr>
      <w:r>
        <w:t>10.</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pPr>
        <w:pStyle w:val="83"/>
      </w:pPr>
      <w:r>
        <w:pict>
          <v:shape id="_x0000_i1030" o:spt="75" type="#_x0000_t75" style="height:261.15pt;width:434.15pt;" filled="f" o:preferrelative="t" stroked="f" coordsize="21600,21600">
            <v:path/>
            <v:fill on="f" focussize="0,0"/>
            <v:stroke on="f" joinstyle="miter"/>
            <v:imagedata r:id="rId11" o:title=""/>
            <o:lock v:ext="edit" aspectratio="f"/>
            <w10:wrap type="none"/>
            <w10:anchorlock/>
          </v:shape>
        </w:pict>
      </w:r>
    </w:p>
    <w:p>
      <w:pPr>
        <w:pStyle w:val="91"/>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pPr>
        <w:pStyle w:val="79"/>
      </w:pPr>
      <w:r>
        <w:t>1.</w:t>
      </w:r>
      <w:r>
        <w:tab/>
      </w:r>
      <w:r>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pPr>
        <w:pStyle w:val="79"/>
      </w:pPr>
      <w:r>
        <w:tab/>
      </w:r>
      <w:r>
        <w:t>The S</w:t>
      </w:r>
      <w:r>
        <w:rPr>
          <w:lang w:eastAsia="zh-CN"/>
        </w:rPr>
        <w:t>N</w:t>
      </w:r>
      <w:r>
        <w:t xml:space="preserve"> can decide whether the change of security key is required.</w:t>
      </w:r>
    </w:p>
    <w:p>
      <w:pPr>
        <w:pStyle w:val="79"/>
        <w:rPr>
          <w:lang w:eastAsia="zh-CN"/>
        </w:rPr>
      </w:pPr>
      <w:r>
        <w:rPr>
          <w:lang w:eastAsia="zh-CN"/>
        </w:rPr>
        <w:t>2/3.</w:t>
      </w:r>
      <w:r>
        <w:rPr>
          <w:lang w:eastAsia="zh-CN"/>
        </w:rPr>
        <w:tab/>
      </w:r>
      <w:r>
        <w:rPr>
          <w:lang w:eastAsia="zh-CN"/>
        </w:rPr>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pPr>
        <w:pStyle w:val="64"/>
        <w:rPr>
          <w:lang w:eastAsia="zh-CN"/>
        </w:rPr>
      </w:pPr>
      <w:r>
        <w:t>NOTE 3:</w:t>
      </w:r>
      <w:r>
        <w:tab/>
      </w:r>
      <w: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pStyle w:val="79"/>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pPr>
        <w:pStyle w:val="79"/>
      </w:pPr>
      <w:r>
        <w:t>5.</w:t>
      </w:r>
      <w:r>
        <w:tab/>
      </w:r>
      <w:r>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pPr>
        <w:pStyle w:val="79"/>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pPr>
        <w:pStyle w:val="79"/>
      </w:pPr>
      <w:r>
        <w:t>7.</w:t>
      </w:r>
      <w:r>
        <w:tab/>
      </w:r>
      <w:r>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pPr>
        <w:pStyle w:val="79"/>
      </w:pPr>
      <w:r>
        <w:t>8.</w:t>
      </w:r>
      <w:r>
        <w:tab/>
      </w:r>
      <w:r>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pPr>
        <w:pStyle w:val="79"/>
        <w:rPr>
          <w:lang w:eastAsia="zh-CN"/>
        </w:rPr>
      </w:pPr>
      <w:r>
        <w:t>9.</w:t>
      </w:r>
      <w:r>
        <w:tab/>
      </w:r>
      <w:r>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pPr>
        <w:pStyle w:val="7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4"/>
        <w:spacing w:after="120"/>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pStyle w:val="79"/>
      </w:pPr>
      <w:r>
        <w:t>11.</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SN initiated SN Modification without MN involvement</w:t>
      </w:r>
    </w:p>
    <w:p>
      <w:pPr>
        <w:rPr>
          <w:lang w:eastAsia="zh-CN"/>
        </w:rPr>
      </w:pPr>
      <w:r>
        <w:t>This procedure is not supported for NE-DC.</w:t>
      </w:r>
    </w:p>
    <w:p>
      <w:pPr>
        <w:pStyle w:val="83"/>
        <w:rPr>
          <w:rFonts w:ascii="Times New Roman" w:hAnsi="Times New Roman" w:eastAsia="宋体"/>
          <w:i/>
          <w:sz w:val="22"/>
          <w:lang w:eastAsia="zh-CN"/>
        </w:rPr>
      </w:pPr>
      <w:r>
        <w:pict>
          <v:shape id="_x0000_i1031" o:spt="75" type="#_x0000_t75" style="height:160.65pt;width:417.5pt;" filled="f" o:preferrelative="t" stroked="f" coordsize="21600,21600">
            <v:path/>
            <v:fill on="f" focussize="0,0"/>
            <v:stroke on="f" joinstyle="miter"/>
            <v:imagedata r:id="rId12" o:title=""/>
            <o:lock v:ext="edit" aspectratio="t"/>
            <w10:wrap type="none"/>
            <w10:anchorlock/>
          </v:shape>
        </w:pict>
      </w:r>
    </w:p>
    <w:p>
      <w:pPr>
        <w:pStyle w:val="91"/>
      </w:pPr>
      <w:r>
        <w:t>Figure 10.3.2-3: SN Modification – SN initiated without MN involvement</w:t>
      </w:r>
    </w:p>
    <w:p>
      <w: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pPr>
        <w:pStyle w:val="79"/>
      </w:pPr>
      <w:r>
        <w:t>1.</w:t>
      </w:r>
      <w:r>
        <w:tab/>
      </w:r>
      <w:r>
        <w:t xml:space="preserve">The SN sends the </w:t>
      </w:r>
      <w:r>
        <w:rPr>
          <w:i/>
        </w:rPr>
        <w:t>SN RRC reconfiguration</w:t>
      </w:r>
      <w:r>
        <w:t xml:space="preserve"> message to the UE through SRB3.</w:t>
      </w:r>
    </w:p>
    <w:p>
      <w:pPr>
        <w:pStyle w:val="79"/>
      </w:pPr>
      <w:r>
        <w:t>2.</w:t>
      </w:r>
      <w:r>
        <w:tab/>
      </w:r>
      <w:r>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pPr>
        <w:pStyle w:val="79"/>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pStyle w:val="79"/>
        <w:rPr>
          <w:lang w:eastAsia="zh-CN"/>
        </w:rPr>
      </w:pPr>
      <w:r>
        <w:t>3a.</w:t>
      </w:r>
      <w:r>
        <w:tab/>
      </w:r>
      <w:r>
        <w:t xml:space="preserve">In case of CPC, </w:t>
      </w:r>
      <w:r>
        <w:rPr>
          <w:lang w:eastAsia="zh-CN"/>
        </w:rPr>
        <w:t xml:space="preserve">the </w:t>
      </w:r>
      <w:r>
        <w:t xml:space="preserve">UE maintains connection with source </w:t>
      </w:r>
      <w:r>
        <w:rPr>
          <w:lang w:eastAsia="zh-CN"/>
        </w:rPr>
        <w:t>PSCell</w:t>
      </w:r>
      <w:r>
        <w:t xml:space="preserve"> after receiving 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 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corresponding configuration for that selected candidate </w:t>
      </w:r>
      <w:r>
        <w:rPr>
          <w:lang w:eastAsia="zh-CN"/>
        </w:rPr>
        <w:t>PSC</w:t>
      </w:r>
      <w:r>
        <w:t xml:space="preserve">ell and synchronises to that candidate </w:t>
      </w:r>
      <w:r>
        <w:rPr>
          <w:lang w:eastAsia="zh-CN"/>
        </w:rPr>
        <w:t>PSC</w:t>
      </w:r>
      <w:r>
        <w:t xml:space="preserve">ell. 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pPr>
        <w:rPr>
          <w:b/>
        </w:rPr>
      </w:pPr>
      <w:r>
        <w:rPr>
          <w:b/>
        </w:rPr>
        <w:t>Transfer of an NR RRC message to/from the UE (when SRB3 is not used)</w:t>
      </w:r>
    </w:p>
    <w:p>
      <w:pPr>
        <w:rPr>
          <w:lang w:eastAsia="zh-CN"/>
        </w:rPr>
      </w:pPr>
      <w:r>
        <w:rPr>
          <w:lang w:eastAsia="zh-CN"/>
        </w:rPr>
        <w:t>This procedure is supported for all the MR-DC options.</w:t>
      </w:r>
    </w:p>
    <w:p>
      <w:pPr>
        <w:pStyle w:val="83"/>
        <w:rPr>
          <w:lang w:eastAsia="zh-CN"/>
        </w:rPr>
      </w:pPr>
      <w:r>
        <w:pict>
          <v:shape id="_x0000_i1032" o:spt="75" type="#_x0000_t75" style="height:188.05pt;width:411.05pt;" filled="f" o:preferrelative="t" stroked="f" coordsize="21600,21600">
            <v:path/>
            <v:fill on="f" focussize="0,0"/>
            <v:stroke on="f" joinstyle="miter"/>
            <v:imagedata r:id="rId13" o:title=""/>
            <o:lock v:ext="edit" aspectratio="t"/>
            <w10:wrap type="none"/>
            <w10:anchorlock/>
          </v:shape>
        </w:pict>
      </w:r>
    </w:p>
    <w:p>
      <w:pPr>
        <w:pStyle w:val="91"/>
        <w:rPr>
          <w:lang w:eastAsia="zh-CN"/>
        </w:rPr>
      </w:pPr>
      <w:r>
        <w:rPr>
          <w:lang w:eastAsia="zh-CN"/>
        </w:rPr>
        <w:t>Figure 10.3.2-4: Transfer of an NR RRC message to/from the UE</w:t>
      </w:r>
    </w:p>
    <w:p>
      <w:pPr>
        <w:spacing w:after="120"/>
        <w:jc w:val="both"/>
      </w:pPr>
      <w:r>
        <w:t>The S</w:t>
      </w:r>
      <w:r>
        <w:rPr>
          <w:lang w:eastAsia="zh-CN"/>
        </w:rPr>
        <w:t>N</w:t>
      </w:r>
      <w:r>
        <w:t xml:space="preserve"> initiates the procedure when it needs to transfer an NR RRC message to the UE and SRB3 is not used.</w:t>
      </w:r>
    </w:p>
    <w:p>
      <w:pPr>
        <w:pStyle w:val="79"/>
      </w:pPr>
      <w:r>
        <w:t>1.</w:t>
      </w:r>
      <w:r>
        <w:tab/>
      </w:r>
      <w:r>
        <w:t xml:space="preserve">The SN initiates the procedure by sending the </w:t>
      </w:r>
      <w:r>
        <w:rPr>
          <w:i/>
        </w:rPr>
        <w:t>SN Modification Required</w:t>
      </w:r>
      <w:r>
        <w:t xml:space="preserve"> to the MN including the SN RRC reconfiguration message.</w:t>
      </w:r>
    </w:p>
    <w:p>
      <w:pPr>
        <w:pStyle w:val="79"/>
      </w:pPr>
      <w:r>
        <w:t>2.</w:t>
      </w:r>
      <w:r>
        <w:tab/>
      </w:r>
      <w:r>
        <w:t xml:space="preserve">The MN forwards the SN RRC reconfiguration message to the UE including it in the </w:t>
      </w:r>
      <w:r>
        <w:rPr>
          <w:i/>
        </w:rPr>
        <w:t xml:space="preserve">RRC reconfiguration </w:t>
      </w:r>
      <w:r>
        <w:t>message.</w:t>
      </w:r>
    </w:p>
    <w:p>
      <w:pPr>
        <w:pStyle w:val="79"/>
      </w:pPr>
      <w:r>
        <w:t>3.</w:t>
      </w:r>
      <w:r>
        <w:tab/>
      </w:r>
      <w:r>
        <w:t xml:space="preserve">The UE applies the new configuration and replies with the </w:t>
      </w:r>
      <w:r>
        <w:rPr>
          <w:i/>
        </w:rPr>
        <w:t>RRC reconfiguration complete</w:t>
      </w:r>
      <w:r>
        <w:t xml:space="preserve"> message by including the SN RRC reconfiguration complete message.</w:t>
      </w:r>
    </w:p>
    <w:p>
      <w:pPr>
        <w:pStyle w:val="79"/>
        <w:rPr>
          <w:lang w:eastAsia="zh-CN"/>
        </w:rPr>
      </w:pPr>
      <w:r>
        <w:rPr>
          <w:lang w:eastAsia="zh-CN"/>
        </w:rPr>
        <w:t>3a.</w:t>
      </w:r>
      <w:r>
        <w:rPr>
          <w:lang w:eastAsia="zh-CN"/>
        </w:rPr>
        <w:tab/>
      </w:r>
      <w:r>
        <w:rPr>
          <w:lang w:eastAsia="zh-CN"/>
        </w:rPr>
        <w:t xml:space="preserve">If CPC is configured in the </w:t>
      </w:r>
      <w:r>
        <w:rPr>
          <w:i/>
        </w:rPr>
        <w:t>RRCReconfiguration</w:t>
      </w:r>
      <w:r>
        <w:rPr>
          <w:i/>
          <w:lang w:eastAsia="zh-CN"/>
        </w:rPr>
        <w:t>,</w:t>
      </w:r>
      <w:r>
        <w:t xml:space="preserve"> </w:t>
      </w:r>
      <w:r>
        <w:rPr>
          <w:lang w:eastAsia="zh-CN"/>
        </w:rPr>
        <w:t xml:space="preserve">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 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corresponding configuration for the selected candidate </w:t>
      </w:r>
      <w:r>
        <w:rPr>
          <w:lang w:eastAsia="zh-CN"/>
        </w:rPr>
        <w:t>PSC</w:t>
      </w:r>
      <w:r>
        <w:t xml:space="preserve">ell and synchronises to that candidate PSCell. The UE completes the CPC execution procedure by </w:t>
      </w:r>
      <w:r>
        <w:rPr>
          <w:lang w:eastAsia="zh-CN"/>
        </w:rPr>
        <w:t xml:space="preserve">an </w:t>
      </w:r>
      <w:r>
        <w:rPr>
          <w:i/>
        </w:rPr>
        <w:t xml:space="preserve">ULInformationTransferMRDC </w:t>
      </w:r>
      <w:r>
        <w:t xml:space="preserve">message to the MN </w:t>
      </w:r>
      <w:r>
        <w:rPr>
          <w:lang w:eastAsia="zh-CN"/>
        </w:rPr>
        <w:t xml:space="preserve">which includes an embedded </w:t>
      </w:r>
      <w:r>
        <w:rPr>
          <w:rFonts w:eastAsia="PMingLiU"/>
          <w:i/>
          <w:lang w:eastAsia="zh-TW"/>
        </w:rPr>
        <w:t>RRCReconfigurationComplete</w:t>
      </w:r>
      <w:r>
        <w:rPr>
          <w:lang w:eastAsia="zh-CN"/>
        </w:rPr>
        <w:t xml:space="preserve"> </w:t>
      </w:r>
      <w:r>
        <w:t xml:space="preserve">message to the </w:t>
      </w:r>
      <w:r>
        <w:rPr>
          <w:lang w:eastAsia="zh-CN"/>
        </w:rPr>
        <w:t xml:space="preserve">new PSCell. The </w:t>
      </w:r>
      <w:r>
        <w:rPr>
          <w:i/>
          <w:iCs/>
          <w:lang w:eastAsia="zh-CN"/>
        </w:rPr>
        <w:t>RRCReconfigurationComplete</w:t>
      </w:r>
      <w:r>
        <w:rPr>
          <w:lang w:eastAsia="zh-CN"/>
        </w:rPr>
        <w:t xml:space="preserve"> is forwarded to the SN embedded in </w:t>
      </w:r>
      <w:r>
        <w:rPr>
          <w:i/>
          <w:iCs/>
          <w:lang w:eastAsia="zh-CN"/>
          <w:rPrChange w:id="18" w:author="ZTE" w:date="2020-10-23T09:27:41Z">
            <w:rPr>
              <w:lang w:eastAsia="zh-CN"/>
            </w:rPr>
          </w:rPrChange>
        </w:rPr>
        <w:t>RRC Transfer</w:t>
      </w:r>
      <w:r>
        <w:rPr>
          <w:lang w:eastAsia="zh-CN"/>
        </w:rPr>
        <w:t>.</w:t>
      </w:r>
    </w:p>
    <w:p>
      <w:pPr>
        <w:pStyle w:val="79"/>
      </w:pPr>
      <w:r>
        <w:t>4.</w:t>
      </w:r>
      <w:r>
        <w:tab/>
      </w:r>
      <w:r>
        <w:t xml:space="preserve">The MN forwards the SN RRC response message, if received from the UE, to the SN by including it in the </w:t>
      </w:r>
      <w:r>
        <w:rPr>
          <w:i/>
        </w:rPr>
        <w:t>SN Modification Confirm</w:t>
      </w:r>
      <w:r>
        <w:t xml:space="preserve"> message.</w:t>
      </w:r>
    </w:p>
    <w:p>
      <w:pPr>
        <w:pStyle w:val="79"/>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bookmarkStart w:id="37" w:name="_Toc52568348"/>
      <w:bookmarkStart w:id="38" w:name="_Toc46492822"/>
      <w:bookmarkStart w:id="39" w:name="_Toc37200956"/>
      <w:bookmarkStart w:id="40" w:name="_Toc29248369"/>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NEXT CHANGE</w:t>
            </w:r>
          </w:p>
        </w:tc>
      </w:tr>
    </w:tbl>
    <w:p>
      <w:pPr>
        <w:rPr>
          <w:shd w:val="clear" w:color="auto" w:fill="FFFFFF"/>
          <w:lang w:eastAsia="en-US"/>
        </w:rPr>
      </w:pPr>
    </w:p>
    <w:p>
      <w:pPr>
        <w:pStyle w:val="3"/>
        <w:rPr>
          <w:lang w:eastAsia="zh-CN"/>
        </w:rPr>
      </w:pPr>
      <w:r>
        <w:rPr>
          <w:lang w:eastAsia="zh-CN"/>
        </w:rPr>
        <w:t>10.6</w:t>
      </w:r>
      <w:r>
        <w:rPr>
          <w:lang w:eastAsia="zh-CN"/>
        </w:rPr>
        <w:tab/>
      </w:r>
      <w:r>
        <w:rPr>
          <w:lang w:eastAsia="zh-CN"/>
        </w:rPr>
        <w:t>PSCell change</w:t>
      </w:r>
      <w:bookmarkEnd w:id="37"/>
      <w:bookmarkEnd w:id="38"/>
      <w:bookmarkEnd w:id="39"/>
      <w:bookmarkEnd w:id="40"/>
    </w:p>
    <w:p>
      <w:r>
        <w:t>In MR-DC, a PSCell change does not always require a security key change.</w:t>
      </w:r>
    </w:p>
    <w:p>
      <w: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S-K</w:t>
      </w:r>
      <w:r>
        <w:rPr>
          <w:vertAlign w:val="subscript"/>
        </w:rPr>
        <w:t>gNB</w:t>
      </w:r>
      <w:r>
        <w:t xml:space="preserve"> (for EN-DC, NGEN-DC and NR-DC) or S-K</w:t>
      </w:r>
      <w:r>
        <w:rPr>
          <w:vertAlign w:val="subscript"/>
        </w:rPr>
        <w:t>eNB</w:t>
      </w:r>
      <w:r>
        <w:t xml:space="preserve"> (for NE-DC) update is required when the procedure is initiated by the SN or including the </w:t>
      </w:r>
      <w:r>
        <w:rPr>
          <w:i/>
        </w:rPr>
        <w:t>SgNB Security Key</w:t>
      </w:r>
      <w:r>
        <w:t xml:space="preserve"> / </w:t>
      </w:r>
      <w:r>
        <w:rPr>
          <w:i/>
        </w:rPr>
        <w:t xml:space="preserve">SN Security Key </w:t>
      </w:r>
      <w:r>
        <w:t>when the procedure is initiated by the MN. In all MR-DC options, to perform a PSCell change between different SN nodes, the SN Change procedure as described in clause 10.5 is used.</w:t>
      </w:r>
    </w:p>
    <w:p>
      <w:r>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p>
    <w:p>
      <w:pPr>
        <w:rPr>
          <w:rFonts w:eastAsia="宋体"/>
          <w:lang w:eastAsia="zh-CN"/>
        </w:rPr>
      </w:pPr>
      <w:bookmarkStart w:id="41" w:name="_Toc37200957"/>
      <w:bookmarkStart w:id="42" w:name="_Toc29248370"/>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w:t>
      </w:r>
      <w:ins w:id="19" w:author="ZTE" w:date="2020-10-23T09:28:42Z">
        <w:r>
          <w:rPr>
            <w:rFonts w:hint="eastAsia" w:eastAsia="宋体"/>
            <w:lang w:val="en-US" w:eastAsia="zh-CN"/>
          </w:rPr>
          <w:t xml:space="preserve"> wi</w:t>
        </w:r>
      </w:ins>
      <w:ins w:id="20" w:author="ZTE" w:date="2020-10-23T09:28:43Z">
        <w:r>
          <w:rPr>
            <w:rFonts w:hint="eastAsia" w:eastAsia="宋体"/>
            <w:lang w:val="en-US" w:eastAsia="zh-CN"/>
          </w:rPr>
          <w:t>thou</w:t>
        </w:r>
      </w:ins>
      <w:ins w:id="21" w:author="ZTE" w:date="2020-10-23T09:28:44Z">
        <w:r>
          <w:rPr>
            <w:rFonts w:hint="eastAsia" w:eastAsia="宋体"/>
            <w:lang w:val="en-US" w:eastAsia="zh-CN"/>
          </w:rPr>
          <w:t>t M</w:t>
        </w:r>
      </w:ins>
      <w:ins w:id="22" w:author="ZTE" w:date="2020-10-23T09:28:45Z">
        <w:r>
          <w:rPr>
            <w:rFonts w:hint="eastAsia" w:eastAsia="宋体"/>
            <w:lang w:val="en-US" w:eastAsia="zh-CN"/>
          </w:rPr>
          <w:t xml:space="preserve">N </w:t>
        </w:r>
      </w:ins>
      <w:ins w:id="23" w:author="ZTE" w:date="2020-10-23T09:28:46Z">
        <w:r>
          <w:rPr>
            <w:rFonts w:hint="eastAsia" w:eastAsia="宋体"/>
            <w:lang w:val="en-US" w:eastAsia="zh-CN"/>
          </w:rPr>
          <w:t>invol</w:t>
        </w:r>
      </w:ins>
      <w:ins w:id="24" w:author="ZTE" w:date="2020-10-23T09:28:47Z">
        <w:r>
          <w:rPr>
            <w:rFonts w:hint="eastAsia" w:eastAsia="宋体"/>
            <w:lang w:val="en-US" w:eastAsia="zh-CN"/>
          </w:rPr>
          <w:t>vemen</w:t>
        </w:r>
      </w:ins>
      <w:ins w:id="25" w:author="ZTE" w:date="2020-10-23T09:28:48Z">
        <w:r>
          <w:rPr>
            <w:rFonts w:hint="eastAsia" w:eastAsia="宋体"/>
            <w:lang w:val="en-US" w:eastAsia="zh-CN"/>
          </w:rPr>
          <w:t>t</w:t>
        </w:r>
      </w:ins>
      <w:r>
        <w:rPr>
          <w:lang w:eastAsia="ko-KR"/>
        </w:rPr>
        <w:t xml:space="preserve"> is supported.</w:t>
      </w:r>
    </w:p>
    <w:p>
      <w:r>
        <w:rPr>
          <w:rFonts w:eastAsia="宋体"/>
          <w:lang w:eastAsia="zh-CN"/>
        </w:rPr>
        <w:t>The following principles apply to CPC:</w:t>
      </w:r>
    </w:p>
    <w:p>
      <w:pPr>
        <w:pStyle w:val="79"/>
      </w:pPr>
      <w:r>
        <w:t>-</w:t>
      </w:r>
      <w:r>
        <w:tab/>
      </w:r>
      <w:r>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pPr>
        <w:pStyle w:val="79"/>
      </w:pPr>
      <w:r>
        <w:t>-</w:t>
      </w:r>
      <w:r>
        <w:tab/>
      </w:r>
      <w:r>
        <w:t xml:space="preserve">An </w:t>
      </w:r>
      <w:r>
        <w:rPr>
          <w:lang w:eastAsia="ko-KR"/>
        </w:rPr>
        <w:t xml:space="preserve">execution </w:t>
      </w:r>
      <w:r>
        <w:t>condition may consist of one or two trigger condition(s) (CPC events A3/A5, as defined in [4]). Only single RS type is supported and at most two different trigger quantities (e.g. RSRP and RSRQ, RSRP and SINR, etc.) can be configured simultaneously for the evalution of CPC execution condition of a single candidate PSCell.</w:t>
      </w:r>
    </w:p>
    <w:p>
      <w:pPr>
        <w:pStyle w:val="79"/>
      </w:pPr>
      <w:r>
        <w:t>-</w:t>
      </w:r>
      <w:r>
        <w:tab/>
      </w:r>
      <w:r>
        <w:t>Before any CPC execution condition is satisfied, upon reception of PSCell change command or PCell change command, the UE executes the PSCell change procedure as described in clause 10.3 and 10.5 or the PCell change procedure as described in clause 9.2.3.2 in TS 38.300[3], regardless of any previously received CPC configuration. Upon the successful completion of PSCell change procedure or PCell change procedure, the UE releases all stored CPC configurations.</w:t>
      </w:r>
    </w:p>
    <w:p>
      <w:pPr>
        <w:pStyle w:val="79"/>
      </w:pPr>
      <w:r>
        <w:t>-</w:t>
      </w:r>
      <w:r>
        <w:tab/>
      </w:r>
      <w:r>
        <w:t>While executing CPC, the UE is not required to continue evaluating the execution condition of other candidate PSCell(s).</w:t>
      </w:r>
    </w:p>
    <w:p>
      <w:pPr>
        <w:pStyle w:val="79"/>
      </w:pPr>
      <w:r>
        <w:t>-</w:t>
      </w:r>
      <w:r>
        <w:tab/>
      </w:r>
      <w:r>
        <w:t>Once the CPC procedure is executed successfully, the UE releases all stored CPC configurations.</w:t>
      </w:r>
    </w:p>
    <w:p>
      <w:pPr>
        <w:pStyle w:val="79"/>
      </w:pPr>
      <w:r>
        <w:t>-</w:t>
      </w:r>
      <w:r>
        <w:tab/>
      </w:r>
      <w:r>
        <w:t>Upon the release of SCG, the UE releases the stored CPC configurations.</w:t>
      </w:r>
    </w:p>
    <w:p>
      <w:r>
        <w:t xml:space="preserve">CPC configuration in HO command, PSCell change command or </w:t>
      </w:r>
      <w:del w:id="26" w:author="ZTE" w:date="2020-10-23T09:28:09Z">
        <w:r>
          <w:rPr>
            <w:rFonts w:hint="default"/>
            <w:lang w:val="en-US"/>
          </w:rPr>
          <w:delText>CPC</w:delText>
        </w:r>
      </w:del>
      <w:ins w:id="27" w:author="ZTE" w:date="2020-10-23T09:28:09Z">
        <w:r>
          <w:rPr>
            <w:rFonts w:hint="eastAsia" w:eastAsia="宋体"/>
            <w:lang w:val="en-US" w:eastAsia="zh-CN"/>
          </w:rPr>
          <w:t>c</w:t>
        </w:r>
      </w:ins>
      <w:ins w:id="28" w:author="ZTE" w:date="2020-10-23T09:28:10Z">
        <w:r>
          <w:rPr>
            <w:rFonts w:hint="eastAsia" w:eastAsia="宋体"/>
            <w:lang w:val="en-US" w:eastAsia="zh-CN"/>
          </w:rPr>
          <w:t>ondi</w:t>
        </w:r>
      </w:ins>
      <w:ins w:id="29" w:author="ZTE" w:date="2020-10-23T09:28:11Z">
        <w:r>
          <w:rPr>
            <w:rFonts w:hint="eastAsia" w:eastAsia="宋体"/>
            <w:lang w:val="en-US" w:eastAsia="zh-CN"/>
          </w:rPr>
          <w:t>tiona</w:t>
        </w:r>
      </w:ins>
      <w:ins w:id="30" w:author="ZTE" w:date="2020-10-23T09:28:12Z">
        <w:r>
          <w:rPr>
            <w:rFonts w:hint="eastAsia" w:eastAsia="宋体"/>
            <w:lang w:val="en-US" w:eastAsia="zh-CN"/>
          </w:rPr>
          <w:t>l</w:t>
        </w:r>
      </w:ins>
      <w:r>
        <w:t xml:space="preserve"> configuration is not supported.</w:t>
      </w:r>
    </w:p>
    <w:p/>
    <w:bookmarkEnd w:id="41"/>
    <w:bookmarkEnd w:id="42"/>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NEXT CHANGE</w:t>
            </w:r>
          </w:p>
        </w:tc>
      </w:tr>
    </w:tbl>
    <w:p>
      <w:pPr>
        <w:rPr>
          <w:shd w:val="clear" w:color="auto" w:fill="FFFFFF"/>
          <w:lang w:eastAsia="en-US"/>
        </w:rPr>
      </w:pPr>
    </w:p>
    <w:p>
      <w:pPr>
        <w:pStyle w:val="10"/>
      </w:pPr>
      <w:bookmarkStart w:id="43" w:name="_Toc37200991"/>
      <w:bookmarkStart w:id="44" w:name="_Toc29248403"/>
      <w:bookmarkStart w:id="45" w:name="_Toc52568388"/>
      <w:bookmarkStart w:id="46" w:name="_Toc46492857"/>
      <w:r>
        <w:t>Annex B (informative):</w:t>
      </w:r>
      <w:r>
        <w:br w:type="textWrapping"/>
      </w:r>
      <w:r>
        <w:t>Supported MR-DC Handover Scenarios</w:t>
      </w:r>
      <w:bookmarkEnd w:id="43"/>
      <w:bookmarkEnd w:id="44"/>
      <w:bookmarkEnd w:id="45"/>
      <w:bookmarkEnd w:id="46"/>
    </w:p>
    <w:p>
      <w:pPr>
        <w:pStyle w:val="83"/>
        <w:spacing w:before="0" w:after="0"/>
        <w:rPr>
          <w:sz w:val="2"/>
        </w:rPr>
      </w:pPr>
    </w:p>
    <w:p>
      <w:r>
        <w:t>Table B-1 summarizes the supported handover scenarios involving MR-DC configurations.</w:t>
      </w:r>
    </w:p>
    <w:p>
      <w:pPr>
        <w:pStyle w:val="83"/>
        <w:rPr>
          <w:rFonts w:eastAsia="MS Mincho"/>
        </w:rPr>
      </w:pPr>
      <w:r>
        <w:rPr>
          <w:rFonts w:eastAsia="MS Mincho"/>
        </w:rPr>
        <w:t>Table B-1: Supported MR-DC handover scenarios.</w:t>
      </w:r>
    </w:p>
    <w:tbl>
      <w:tblPr>
        <w:tblStyle w:val="42"/>
        <w:tblW w:w="14292" w:type="dxa"/>
        <w:tblInd w:w="-15" w:type="dxa"/>
        <w:tblLayout w:type="autofit"/>
        <w:tblCellMar>
          <w:top w:w="0" w:type="dxa"/>
          <w:left w:w="108" w:type="dxa"/>
          <w:bottom w:w="0" w:type="dxa"/>
          <w:right w:w="108" w:type="dxa"/>
        </w:tblCellMar>
      </w:tblPr>
      <w:tblGrid>
        <w:gridCol w:w="3240"/>
        <w:gridCol w:w="2580"/>
        <w:gridCol w:w="1433"/>
        <w:gridCol w:w="853"/>
        <w:gridCol w:w="1614"/>
        <w:gridCol w:w="1206"/>
        <w:gridCol w:w="1329"/>
        <w:gridCol w:w="1010"/>
        <w:gridCol w:w="1027"/>
      </w:tblGrid>
      <w:tr>
        <w:tblPrEx>
          <w:tblCellMar>
            <w:top w:w="0" w:type="dxa"/>
            <w:left w:w="108" w:type="dxa"/>
            <w:bottom w:w="0" w:type="dxa"/>
            <w:right w:w="108" w:type="dxa"/>
          </w:tblCellMar>
        </w:tblPrEx>
        <w:trPr>
          <w:trHeight w:val="1207" w:hRule="atLeast"/>
        </w:trPr>
        <w:tc>
          <w:tcPr>
            <w:tcW w:w="3240" w:type="dxa"/>
            <w:tcBorders>
              <w:top w:val="single" w:color="auto" w:sz="12" w:space="0"/>
              <w:left w:val="single" w:color="auto" w:sz="12" w:space="0"/>
              <w:bottom w:val="single" w:color="auto" w:sz="8" w:space="0"/>
              <w:right w:val="single" w:color="auto" w:sz="8" w:space="0"/>
              <w:tl2br w:val="single" w:color="auto" w:sz="4" w:space="0"/>
            </w:tcBorders>
            <w:shd w:val="clear" w:color="000000" w:fill="E7E6E6"/>
            <w:vAlign w:val="bottom"/>
          </w:tcPr>
          <w:p>
            <w:pPr>
              <w:spacing w:after="0"/>
              <w:rPr>
                <w:rFonts w:ascii="Calibri" w:hAnsi="Calibri" w:cs="Calibri"/>
                <w:b/>
                <w:bCs/>
                <w:sz w:val="22"/>
                <w:szCs w:val="22"/>
              </w:rPr>
            </w:pPr>
            <w:r>
              <w:rPr>
                <w:rFonts w:ascii="Calibri" w:hAnsi="Calibri" w:cs="Calibri"/>
                <w:b/>
                <w:bCs/>
                <w:sz w:val="22"/>
                <w:szCs w:val="22"/>
              </w:rPr>
              <w:t xml:space="preserve">              To (column)</w:t>
            </w:r>
            <w:r>
              <w:rPr>
                <w:rFonts w:ascii="Calibri" w:hAnsi="Calibri" w:cs="Calibri"/>
                <w:b/>
                <w:bCs/>
                <w:sz w:val="22"/>
                <w:szCs w:val="22"/>
              </w:rPr>
              <w:br w:type="textWrapping"/>
            </w:r>
            <w:r>
              <w:rPr>
                <w:rFonts w:ascii="Calibri" w:hAnsi="Calibri" w:cs="Calibri"/>
                <w:b/>
                <w:bCs/>
                <w:sz w:val="22"/>
                <w:szCs w:val="22"/>
              </w:rPr>
              <w:br w:type="textWrapping"/>
            </w:r>
            <w:r>
              <w:rPr>
                <w:rFonts w:ascii="Calibri" w:hAnsi="Calibri" w:cs="Calibri"/>
                <w:b/>
                <w:bCs/>
                <w:sz w:val="22"/>
                <w:szCs w:val="22"/>
              </w:rPr>
              <w:t>HO from (row)</w:t>
            </w:r>
          </w:p>
        </w:tc>
        <w:tc>
          <w:tcPr>
            <w:tcW w:w="2580" w:type="dxa"/>
            <w:tcBorders>
              <w:top w:val="single" w:color="auto" w:sz="12" w:space="0"/>
              <w:left w:val="nil"/>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EPC</w:t>
            </w:r>
          </w:p>
        </w:tc>
        <w:tc>
          <w:tcPr>
            <w:tcW w:w="143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5GC</w:t>
            </w:r>
          </w:p>
        </w:tc>
        <w:tc>
          <w:tcPr>
            <w:tcW w:w="853"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w:t>
            </w:r>
          </w:p>
        </w:tc>
        <w:tc>
          <w:tcPr>
            <w:tcW w:w="1614"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GERAN or UTRAN</w:t>
            </w:r>
          </w:p>
        </w:tc>
        <w:tc>
          <w:tcPr>
            <w:tcW w:w="1206"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EN-DC</w:t>
            </w:r>
          </w:p>
        </w:tc>
        <w:tc>
          <w:tcPr>
            <w:tcW w:w="1329"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NGEN-DC</w:t>
            </w:r>
          </w:p>
        </w:tc>
        <w:tc>
          <w:tcPr>
            <w:tcW w:w="101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NE-DC</w:t>
            </w:r>
          </w:p>
        </w:tc>
        <w:tc>
          <w:tcPr>
            <w:tcW w:w="1027"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NR-DC</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EPC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E-UTRA with 5GC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w:t>
            </w:r>
            <w:ins w:id="31" w:author="ZTE" w:date="2020-10-23T00:45:00Z">
              <w:r>
                <w:rPr>
                  <w:rFonts w:ascii="Calibri" w:hAnsi="Calibri" w:cs="Calibri"/>
                  <w:sz w:val="22"/>
                  <w:szCs w:val="22"/>
                </w:rPr>
                <w:t xml:space="preserve"> 1</w:t>
              </w:r>
            </w:ins>
          </w:p>
        </w:tc>
        <w:tc>
          <w:tcPr>
            <w:tcW w:w="1206" w:type="dxa"/>
            <w:tcBorders>
              <w:top w:val="single" w:color="auto" w:sz="8" w:space="0"/>
              <w:left w:val="single" w:color="auto" w:sz="8" w:space="0"/>
              <w:bottom w:val="single" w:color="auto" w:sz="8" w:space="0"/>
              <w:right w:val="single" w:color="auto" w:sz="8" w:space="0"/>
            </w:tcBorders>
            <w:shd w:val="clear" w:color="auto" w:fill="E2EFD9" w:themeFill="accent6" w:themeFillTint="33"/>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color="auto" w:sz="8" w:space="0"/>
              <w:left w:val="single" w:color="auto" w:sz="8" w:space="0"/>
              <w:bottom w:val="single" w:color="auto" w:sz="8" w:space="0"/>
              <w:right w:val="single" w:color="auto" w:sz="12"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GERAN or UTRAN</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853"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NGEN-DC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NE-DC</w:t>
            </w:r>
          </w:p>
        </w:tc>
        <w:tc>
          <w:tcPr>
            <w:tcW w:w="258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w:t>
            </w:r>
            <w:ins w:id="32" w:author="ZTE" w:date="2020-10-23T00:45:00Z">
              <w:r>
                <w:rPr>
                  <w:rFonts w:ascii="Calibri" w:hAnsi="Calibri" w:cs="Calibri"/>
                  <w:sz w:val="22"/>
                  <w:szCs w:val="22"/>
                </w:rPr>
                <w:t xml:space="preserve"> 1</w:t>
              </w:r>
            </w:ins>
          </w:p>
        </w:tc>
        <w:tc>
          <w:tcPr>
            <w:tcW w:w="1206"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8"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8"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color="auto" w:sz="8" w:space="0"/>
              <w:left w:val="single" w:color="auto" w:sz="8" w:space="0"/>
              <w:bottom w:val="single" w:color="auto" w:sz="8" w:space="0"/>
              <w:right w:val="single" w:color="auto" w:sz="12"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r>
      <w:tr>
        <w:tblPrEx>
          <w:tblCellMar>
            <w:top w:w="0" w:type="dxa"/>
            <w:left w:w="108" w:type="dxa"/>
            <w:bottom w:w="0" w:type="dxa"/>
            <w:right w:w="108" w:type="dxa"/>
          </w:tblCellMar>
        </w:tblPrEx>
        <w:trPr>
          <w:trHeight w:val="324" w:hRule="atLeast"/>
        </w:trPr>
        <w:tc>
          <w:tcPr>
            <w:tcW w:w="3240" w:type="dxa"/>
            <w:tcBorders>
              <w:top w:val="single" w:color="auto" w:sz="12" w:space="0"/>
              <w:left w:val="single" w:color="auto" w:sz="8" w:space="0"/>
              <w:bottom w:val="single" w:color="auto" w:sz="8" w:space="0"/>
              <w:right w:val="single" w:color="auto" w:sz="12" w:space="0"/>
            </w:tcBorders>
            <w:shd w:val="clear" w:color="000000" w:fill="D6DCE4"/>
            <w:noWrap/>
            <w:vAlign w:val="center"/>
          </w:tcPr>
          <w:p>
            <w:pPr>
              <w:spacing w:after="0"/>
              <w:jc w:val="center"/>
              <w:rPr>
                <w:rFonts w:ascii="Calibri" w:hAnsi="Calibri" w:cs="Calibri"/>
                <w:b/>
                <w:bCs/>
                <w:sz w:val="22"/>
                <w:szCs w:val="22"/>
              </w:rPr>
            </w:pPr>
            <w:r>
              <w:rPr>
                <w:rFonts w:ascii="Calibri" w:hAnsi="Calibri" w:cs="Calibri"/>
                <w:b/>
                <w:bCs/>
                <w:sz w:val="22"/>
                <w:szCs w:val="22"/>
              </w:rPr>
              <w:t>NR-DC</w:t>
            </w:r>
          </w:p>
        </w:tc>
        <w:tc>
          <w:tcPr>
            <w:tcW w:w="2580"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color="auto" w:sz="8" w:space="0"/>
              <w:left w:val="single" w:color="auto" w:sz="8" w:space="0"/>
              <w:bottom w:val="single" w:color="auto" w:sz="12" w:space="0"/>
              <w:right w:val="single" w:color="auto" w:sz="8"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NOTE</w:t>
            </w:r>
            <w:ins w:id="33" w:author="ZTE" w:date="2020-10-23T00:45:00Z">
              <w:r>
                <w:rPr>
                  <w:rFonts w:ascii="Calibri" w:hAnsi="Calibri" w:cs="Calibri"/>
                  <w:sz w:val="22"/>
                  <w:szCs w:val="22"/>
                </w:rPr>
                <w:t xml:space="preserve"> 1</w:t>
              </w:r>
            </w:ins>
          </w:p>
        </w:tc>
        <w:tc>
          <w:tcPr>
            <w:tcW w:w="1206"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color="auto" w:sz="8" w:space="0"/>
              <w:left w:val="single" w:color="auto" w:sz="8" w:space="0"/>
              <w:bottom w:val="single" w:color="auto" w:sz="12" w:space="0"/>
              <w:right w:val="single" w:color="auto" w:sz="8" w:space="0"/>
            </w:tcBorders>
            <w:shd w:val="clear" w:color="000000" w:fill="FCE4D6"/>
            <w:noWrap/>
            <w:vAlign w:val="center"/>
          </w:tcPr>
          <w:p>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color="auto" w:sz="8" w:space="0"/>
              <w:left w:val="single" w:color="auto" w:sz="8" w:space="0"/>
              <w:bottom w:val="single" w:color="auto" w:sz="12" w:space="0"/>
              <w:right w:val="single" w:color="auto" w:sz="12" w:space="0"/>
            </w:tcBorders>
            <w:shd w:val="clear" w:color="000000" w:fill="E2EFDA"/>
            <w:noWrap/>
            <w:vAlign w:val="center"/>
          </w:tcPr>
          <w:p>
            <w:pPr>
              <w:spacing w:after="0"/>
              <w:jc w:val="center"/>
              <w:rPr>
                <w:rFonts w:ascii="Calibri" w:hAnsi="Calibri" w:cs="Calibri"/>
                <w:sz w:val="22"/>
                <w:szCs w:val="22"/>
              </w:rPr>
            </w:pPr>
            <w:r>
              <w:rPr>
                <w:rFonts w:ascii="Calibri" w:hAnsi="Calibri" w:cs="Calibri"/>
                <w:sz w:val="22"/>
                <w:szCs w:val="22"/>
              </w:rPr>
              <w:t>YES</w:t>
            </w:r>
          </w:p>
        </w:tc>
      </w:tr>
    </w:tbl>
    <w:p/>
    <w:p>
      <w:pPr>
        <w:pStyle w:val="64"/>
      </w:pPr>
      <w:r>
        <w:t>NOTE 1:</w:t>
      </w:r>
      <w:r>
        <w:tab/>
      </w:r>
      <w:r>
        <w:t>Only SRVCC handover of IMS voice bearer to UTRAN is supported.</w:t>
      </w:r>
    </w:p>
    <w:p>
      <w:pPr>
        <w:pStyle w:val="64"/>
      </w:pPr>
      <w:r>
        <w:t>NOTE 2:</w:t>
      </w:r>
      <w:r>
        <w:tab/>
      </w:r>
      <w:r>
        <w:t>All handover scenarios according to Table B-1 that have a DC option in the column "from" are supported during fast MCG failure recovery.</w:t>
      </w:r>
    </w:p>
    <w:p>
      <w:pPr>
        <w:pStyle w:val="64"/>
        <w:rPr>
          <w:ins w:id="34" w:author="ZTE" w:date="2020-10-23T00:44:00Z"/>
        </w:rPr>
      </w:pPr>
      <w:ins w:id="35" w:author="ZTE" w:date="2020-10-23T00:44:00Z">
        <w:r>
          <w:rPr/>
          <w:t xml:space="preserve">NOTE </w:t>
        </w:r>
      </w:ins>
      <w:ins w:id="36" w:author="ZTE" w:date="2020-10-23T09:41:09Z">
        <w:r>
          <w:rPr>
            <w:rFonts w:hint="eastAsia" w:eastAsia="宋体"/>
            <w:lang w:val="en-US" w:eastAsia="zh-CN"/>
          </w:rPr>
          <w:t>3</w:t>
        </w:r>
      </w:ins>
      <w:ins w:id="37" w:author="ZTE" w:date="2020-10-23T00:44:00Z">
        <w:r>
          <w:rPr/>
          <w:t>:</w:t>
        </w:r>
      </w:ins>
      <w:ins w:id="38" w:author="ZTE" w:date="2020-10-23T00:44:00Z">
        <w:r>
          <w:rPr/>
          <w:tab/>
        </w:r>
      </w:ins>
      <w:ins w:id="39" w:author="ZTE" w:date="2020-10-23T00:44:00Z">
        <w:r>
          <w:rPr/>
          <w:t>Only intra-RAT conditional handover is supported.</w:t>
        </w:r>
      </w:ins>
    </w:p>
    <w:p>
      <w:pPr>
        <w:pStyle w:val="64"/>
      </w:pPr>
      <w:ins w:id="40" w:author="ZTE" w:date="2020-10-23T00:44:00Z">
        <w:r>
          <w:rPr/>
          <w:t xml:space="preserve">NOTE </w:t>
        </w:r>
      </w:ins>
      <w:ins w:id="41" w:author="ZTE" w:date="2020-10-23T09:41:11Z">
        <w:r>
          <w:rPr>
            <w:rFonts w:hint="eastAsia" w:eastAsia="宋体"/>
            <w:lang w:val="en-US" w:eastAsia="zh-CN"/>
          </w:rPr>
          <w:t>4</w:t>
        </w:r>
      </w:ins>
      <w:ins w:id="42" w:author="ZTE" w:date="2020-10-23T00:44:00Z">
        <w:r>
          <w:rPr/>
          <w:t>:</w:t>
        </w:r>
      </w:ins>
      <w:ins w:id="43" w:author="ZTE" w:date="2020-10-23T00:44:00Z">
        <w:r>
          <w:rPr/>
          <w:tab/>
        </w:r>
      </w:ins>
      <w:ins w:id="44" w:author="ZTE" w:date="2020-10-23T00:44:00Z">
        <w:r>
          <w:rPr/>
          <w:t>DAPS handover is only supported from E-UTRA with EPC to E-UTRA with EPC, from E-UTRA with 5GC to E-UTRA with 5GC and from NR to NR.</w:t>
        </w:r>
      </w:ins>
    </w:p>
    <w:p>
      <w:pPr>
        <w:rPr>
          <w:shd w:val="clear" w:color="auto" w:fill="FFFFFF"/>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Helvetica 45 Light">
    <w:altName w:val="Arial"/>
    <w:panose1 w:val="00000000000000000000"/>
    <w:charset w:val="00"/>
    <w:family w:val="roman"/>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C8955F"/>
    <w:multiLevelType w:val="singleLevel"/>
    <w:tmpl w:val="BBC8955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672"/>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F54"/>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5D3"/>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4A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A7B6B"/>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6B6"/>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512"/>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B8"/>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0AD"/>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48C4"/>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6F513C"/>
    <w:rsid w:val="046E162F"/>
    <w:rsid w:val="06C24947"/>
    <w:rsid w:val="11722803"/>
    <w:rsid w:val="12726EB3"/>
    <w:rsid w:val="13940A43"/>
    <w:rsid w:val="1CC60F2B"/>
    <w:rsid w:val="24593FB8"/>
    <w:rsid w:val="250618F2"/>
    <w:rsid w:val="26740DD8"/>
    <w:rsid w:val="29631AD8"/>
    <w:rsid w:val="2D95266E"/>
    <w:rsid w:val="35FB257C"/>
    <w:rsid w:val="3BFC19CC"/>
    <w:rsid w:val="3C046554"/>
    <w:rsid w:val="42653465"/>
    <w:rsid w:val="43650B12"/>
    <w:rsid w:val="47F90CEB"/>
    <w:rsid w:val="4D115C18"/>
    <w:rsid w:val="526E0273"/>
    <w:rsid w:val="588E5CF6"/>
    <w:rsid w:val="596A3AB4"/>
    <w:rsid w:val="5B3F6A31"/>
    <w:rsid w:val="64007945"/>
    <w:rsid w:val="6AFD4480"/>
    <w:rsid w:val="7711750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uiPriority="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line="259" w:lineRule="auto"/>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Revision"/>
    <w:hidden/>
    <w:semiHidden/>
    <w:qFormat/>
    <w:uiPriority w:val="99"/>
    <w:pPr>
      <w:spacing w:after="0" w:line="240" w:lineRule="auto"/>
    </w:pPr>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78BB12-B582-4DC2-8D3F-C035CA810B92}">
  <ds:schemaRefs/>
</ds:datastoreItem>
</file>

<file path=customXml/itemProps3.xml><?xml version="1.0" encoding="utf-8"?>
<ds:datastoreItem xmlns:ds="http://schemas.openxmlformats.org/officeDocument/2006/customXml" ds:itemID="{96AC663A-5EEA-48F1-8B7D-92F27016B656}">
  <ds:schemaRefs/>
</ds:datastoreItem>
</file>

<file path=customXml/itemProps4.xml><?xml version="1.0" encoding="utf-8"?>
<ds:datastoreItem xmlns:ds="http://schemas.openxmlformats.org/officeDocument/2006/customXml" ds:itemID="{3900BC24-7BEC-493C-8D56-532D4A547027}">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3gpp_70</Template>
  <Pages>14</Pages>
  <Words>5444</Words>
  <Characters>31033</Characters>
  <Lines>258</Lines>
  <Paragraphs>72</Paragraphs>
  <TotalTime>15</TotalTime>
  <ScaleCrop>false</ScaleCrop>
  <LinksUpToDate>false</LinksUpToDate>
  <CharactersWithSpaces>36405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2020-10-22T23:04:00Z</dcterms:created>
  <dc:creator>MCC Support</dc:creator>
  <cp:lastModifiedBy>ZTE</cp:lastModifiedBy>
  <cp:lastPrinted>2017-05-08T10:55:00Z</cp:lastPrinted>
  <dcterms:modified xsi:type="dcterms:W3CDTF">2020-10-23T02:03:59Z</dcterms:modified>
  <dc:subject>NR; Radio Resource Control (RRC) protocol specification (Release 16)</dc:subject>
  <dc:title>3GPP TS 38.331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